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9618"/>
      </w:tblGrid>
      <w:tr>
        <w:tc>
          <w:tcPr>
            <w:tcW w:type="auto" w:w="100"/>
            <w:tcBorders>
              <w:top w:val="none" w:color="FFFFFF" w:sz="0"/>
              <w:left w:val="none" w:color="FFFFFF" w:sz="0"/>
              <w:bottom w:val="none" w:color="FFFFFF" w:sz="0"/>
              <w:right w:val="none" w:color="FFFFFF" w:sz="0"/>
            </w:tcBorders>
            <w:shd w:fill="000000" w:val="clear"/>
          </w:tcPr>
          <w:p>
            <w:r>
              <w:t xml:space="preserve"/>
            </w:r>
          </w:p>
        </w:tc>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100"/>
            <w:tcBorders>
              <w:top w:val="none" w:color="FFFFFF" w:sz="0"/>
              <w:left w:val="none" w:color="FFFFFF" w:sz="0"/>
              <w:bottom w:val="none" w:color="FFFFFF" w:sz="0"/>
              <w:right w:val="none" w:color="FFFFFF" w:sz="0"/>
            </w:tcBorders>
            <w:shd w:fill="FFCC00" w:val="clear"/>
          </w:tcPr>
          <w:p>
            <w:r>
              <w:t xml:space="preserve"/>
            </w:r>
          </w:p>
        </w:tc>
        <w:tc>
          <w:tcPr>
            <w:tcW w:type="auto" w:w="9618"/>
            <w:tcBorders>
              <w:top w:val="none" w:color="FFFFFF" w:sz="0"/>
              <w:left w:val="none" w:color="FFFFFF" w:sz="0"/>
              <w:bottom w:val="none" w:color="FFFFFF" w:sz="0"/>
              <w:right w:val="none" w:color="FFFFFF" w:sz="0"/>
            </w:tcBorders>
            <w:shd w:fill="F4F7FC" w:val="clear"/>
            <w:tcMar>
              <w:top w:type="dxa" w:w="150"/>
              <w:left w:type="dxa" w:w="280"/>
              <w:bottom w:type="dxa" w:w="150"/>
              <w:right w:type="dxa" w:w="240"/>
            </w:tcMar>
          </w:tcPr>
          <w:p>
            <w:pPr>
              <w:spacing w:after="80" w:before="0"/>
            </w:pPr>
            <w:r>
              <w:rPr>
                <w:rFonts w:ascii="Calibri" w:cs="Calibri" w:eastAsia="Calibri" w:hAnsi="Calibri"/>
                <w:b/>
                <w:bCs/>
                <w:color w:val="000000"/>
                <w:sz w:val="40"/>
                <w:szCs w:val="40"/>
              </w:rPr>
              <w:t xml:space="preserve">VISA DE TRAVAIL 🇩🇪 ALLEMAGNE</w:t>
            </w:r>
          </w:p>
          <w:p>
            <w:pPr>
              <w:spacing w:after="70" w:before="0"/>
            </w:pPr>
            <w:r>
              <w:rPr>
                <w:rFonts w:ascii="Calibri" w:cs="Calibri" w:eastAsia="Calibri" w:hAnsi="Calibri"/>
                <w:b/>
                <w:bCs/>
                <w:color w:val="CC0000"/>
                <w:sz w:val="20"/>
                <w:szCs w:val="20"/>
              </w:rPr>
              <w:t xml:space="preserve">Visa Travail · 1,2 Million Postes · Fachkräfteeinwanderungsgesetz · Chancenkarte 2024</w:t>
            </w:r>
          </w:p>
          <w:p>
            <w:pPr>
              <w:spacing w:after="60" w:before="0"/>
            </w:pPr>
            <w:r>
              <w:rPr>
                <w:rFonts w:ascii="Calibri" w:cs="Calibri" w:eastAsia="Calibri" w:hAnsi="Calibri"/>
                <w:b/>
                <w:bCs/>
                <w:color w:val="C8A400"/>
                <w:sz w:val="18"/>
                <w:szCs w:val="18"/>
              </w:rPr>
              <w:t xml:space="preserve">Budget à partir de 2 600 000 FCFA HORS BILLET D'AVION  •  Variable selon profil  •  Permis Garanti disponible</w:t>
            </w:r>
          </w:p>
          <w:p>
            <w:pPr>
              <w:spacing w:after="0" w:before="0"/>
            </w:pPr>
            <w:r>
              <w:rPr>
                <w:rFonts w:ascii="Calibri" w:cs="Calibri" w:eastAsia="Calibri" w:hAnsi="Calibri"/>
                <w:i/>
                <w:iCs/>
                <w:color w:val="4A6080"/>
                <w:sz w:val="17"/>
                <w:szCs w:val="17"/>
              </w:rPr>
              <w:t xml:space="preserve">Document officiel pour ressortissants camerounais — 3M Travel &amp; Services SARL</w:t>
            </w:r>
          </w:p>
        </w:tc>
      </w:tr>
    </w:tbl>
    <w:p>
      <w:pPr>
        <w:spacing w:after="0" w:before="10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000000" w:val="clear"/>
            <w:tcMar>
              <w:top w:type="dxa" w:w="90"/>
              <w:left w:type="dxa" w:w="220"/>
              <w:bottom w:type="dxa" w:w="90"/>
              <w:right w:type="dxa" w:w="180"/>
            </w:tcMar>
          </w:tcPr>
          <w:p>
            <w:r>
              <w:rPr>
                <w:rFonts w:ascii="Calibri" w:cs="Calibri" w:eastAsia="Calibri" w:hAnsi="Calibri"/>
                <w:b/>
                <w:bCs/>
                <w:caps/>
                <w:color w:val="FFFFFF"/>
                <w:sz w:val="20"/>
                <w:szCs w:val="20"/>
              </w:rPr>
              <w:t xml:space="preserve">01  —  Pourquoi Travailler en Allemagne ? Marché &amp; Chiffres Clés</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L'Allemagne, 1ère économie d'Europe, traverse la plus grande crise de main-d'œuvre de son histoire : 1,2 million de postes non pourvus en 2026. La révolutionnaire loi Fachkräfteeinwanderungsgesetz (2023) et la Chancenkarte (2024 — visa de recherche d'emploi directement en Allemagne) ont radicalement simplifié l'accès pour les non-UE. C'est désormais l'une des destinations Schengen les plus accessibles.</w:t>
      </w:r>
    </w:p>
    <w:p>
      <w:pPr>
        <w:spacing w:after="0" w:before="50"/>
      </w:pPr>
      <w:r>
        <w:t xml:space="preserve"/>
      </w:r>
    </w:p>
    <w:p>
      <w:pPr>
        <w:pStyle w:val="ListParagraph"/>
        <w:numPr>
          <w:ilvl w:val="0"/>
          <w:numId w:val="2"/>
        </w:numPr>
        <w:spacing w:after="30" w:before="30"/>
      </w:pPr>
      <w:r>
        <w:rPr>
          <w:rFonts w:ascii="Calibri" w:cs="Calibri" w:eastAsia="Calibri" w:hAnsi="Calibri"/>
          <w:color w:val="131E2D"/>
          <w:sz w:val="18"/>
          <w:szCs w:val="18"/>
        </w:rPr>
        <w:t xml:space="preserve">1,2 million de postes vacants en 2026 — record historique absolu depuis 30 ans.</w:t>
      </w:r>
    </w:p>
    <w:p>
      <w:pPr>
        <w:pStyle w:val="ListParagraph"/>
        <w:numPr>
          <w:ilvl w:val="0"/>
          <w:numId w:val="2"/>
        </w:numPr>
        <w:spacing w:after="30" w:before="30"/>
      </w:pPr>
      <w:r>
        <w:rPr>
          <w:rFonts w:ascii="Calibri" w:cs="Calibri" w:eastAsia="Calibri" w:hAnsi="Calibri"/>
          <w:color w:val="131E2D"/>
          <w:sz w:val="18"/>
          <w:szCs w:val="18"/>
        </w:rPr>
        <w:t xml:space="preserve">Fachkräfteeinwanderungsgesetz 2023 : suppression de l'opposabilité emploi pour les qualifiés non-UE.</w:t>
      </w:r>
    </w:p>
    <w:p>
      <w:pPr>
        <w:pStyle w:val="ListParagraph"/>
        <w:numPr>
          <w:ilvl w:val="0"/>
          <w:numId w:val="2"/>
        </w:numPr>
        <w:spacing w:after="30" w:before="30"/>
      </w:pPr>
      <w:r>
        <w:rPr>
          <w:rFonts w:ascii="Calibri" w:cs="Calibri" w:eastAsia="Calibri" w:hAnsi="Calibri"/>
          <w:color w:val="131E2D"/>
          <w:sz w:val="18"/>
          <w:szCs w:val="18"/>
        </w:rPr>
        <w:t xml:space="preserve">Chancenkarte 2024 : visa d'1 an pour chercher un emploi directement en Allemagne sans offre préalable.</w:t>
      </w:r>
    </w:p>
    <w:p>
      <w:pPr>
        <w:pStyle w:val="ListParagraph"/>
        <w:numPr>
          <w:ilvl w:val="0"/>
          <w:numId w:val="2"/>
        </w:numPr>
        <w:spacing w:after="30" w:before="30"/>
      </w:pPr>
      <w:r>
        <w:rPr>
          <w:rFonts w:ascii="Calibri" w:cs="Calibri" w:eastAsia="Calibri" w:hAnsi="Calibri"/>
          <w:color w:val="131E2D"/>
          <w:sz w:val="18"/>
          <w:szCs w:val="18"/>
        </w:rPr>
        <w:t xml:space="preserve">SMIC à 12,82 €/h (2026) — secteurs qualifiés : 2 800 à 7 000 €/mois selon expérience.</w:t>
      </w:r>
    </w:p>
    <w:p>
      <w:pPr>
        <w:pStyle w:val="ListParagraph"/>
        <w:numPr>
          <w:ilvl w:val="0"/>
          <w:numId w:val="2"/>
        </w:numPr>
        <w:spacing w:after="30" w:before="30"/>
      </w:pPr>
      <w:r>
        <w:rPr>
          <w:rFonts w:ascii="Calibri" w:cs="Calibri" w:eastAsia="Calibri" w:hAnsi="Calibri"/>
          <w:color w:val="131E2D"/>
          <w:sz w:val="18"/>
          <w:szCs w:val="18"/>
        </w:rPr>
        <w:t xml:space="preserve">EU Blue Card seuil réduit : 40 770 €/an brut (31 818 €/an métiers pénurie) en 2026.</w:t>
      </w:r>
    </w:p>
    <w:p>
      <w:pPr>
        <w:pStyle w:val="ListParagraph"/>
        <w:numPr>
          <w:ilvl w:val="0"/>
          <w:numId w:val="2"/>
        </w:numPr>
        <w:spacing w:after="30" w:before="30"/>
      </w:pPr>
      <w:r>
        <w:rPr>
          <w:rFonts w:ascii="Calibri" w:cs="Calibri" w:eastAsia="Calibri" w:hAnsi="Calibri"/>
          <w:color w:val="131E2D"/>
          <w:sz w:val="18"/>
          <w:szCs w:val="18"/>
        </w:rPr>
        <w:t xml:space="preserve">VFS Global Yaoundé : dépôt de visa simplifié sans se déplacer à l'ambassade.</w:t>
      </w:r>
    </w:p>
    <w:p>
      <w:pPr>
        <w:pStyle w:val="ListParagraph"/>
        <w:numPr>
          <w:ilvl w:val="0"/>
          <w:numId w:val="2"/>
        </w:numPr>
        <w:spacing w:after="30" w:before="30"/>
      </w:pPr>
      <w:r>
        <w:rPr>
          <w:rFonts w:ascii="Calibri" w:cs="Calibri" w:eastAsia="Calibri" w:hAnsi="Calibri"/>
          <w:color w:val="131E2D"/>
          <w:sz w:val="18"/>
          <w:szCs w:val="18"/>
        </w:rPr>
        <w:t xml:space="preserve">Anglais largement accepté dans les startups et entreprises tech — allemand de base utile.</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000000" w:val="clear"/>
            <w:vAlign w:val="center"/>
          </w:tcPr>
          <w:p>
            <w:pPr>
              <w:jc w:val="center"/>
            </w:pPr>
            <w:r>
              <w:rPr>
                <w:rFonts w:ascii="Calibri" w:cs="Calibri" w:eastAsia="Calibri" w:hAnsi="Calibri"/>
                <w:sz w:val="22"/>
                <w:szCs w:val="22"/>
              </w:rPr>
              <w:t xml:space="preserve">🌍</w:t>
            </w:r>
          </w:p>
        </w:tc>
        <w:tc>
          <w:tcPr>
            <w:tcW w:type="auto" w:w="9698"/>
            <w:tcBorders>
              <w:top w:val="single" w:color="DDBB66" w:sz="1"/>
              <w:left w:val="single" w:color="DDBB66" w:sz="1"/>
              <w:bottom w:val="single" w:color="DDBB66" w:sz="1"/>
              <w:right w:val="single" w:color="DDBB66" w:sz="1"/>
            </w:tcBorders>
            <w:shd w:fill="FFF8E1" w:val="clear"/>
            <w:tcMar>
              <w:top w:type="dxa" w:w="70"/>
              <w:left w:type="dxa" w:w="160"/>
              <w:bottom w:type="dxa" w:w="70"/>
              <w:right w:type="dxa" w:w="140"/>
            </w:tcMar>
          </w:tcPr>
          <w:p>
            <w:pPr>
              <w:jc w:val="both"/>
            </w:pPr>
            <w:r>
              <w:rPr>
                <w:rFonts w:ascii="Calibri" w:cs="Calibri" w:eastAsia="Calibri" w:hAnsi="Calibri"/>
                <w:color w:val="131E2D"/>
                <w:sz w:val="17"/>
                <w:szCs w:val="17"/>
              </w:rPr>
              <w:t xml:space="preserve">La Chancenkarte permet d'arriver en Allemagne pendant 1 an pour chercher un emploi sur place — une révolution pour les Camerounais diplômés. Conditions : Bac+3 + 1 an d'expérience + B1 allemand. OU Bac+3 + 3 ans d'expérience sans exigence de langue. Travail 20h/semaine autorisé pendant la recherche.</w:t>
            </w:r>
          </w:p>
        </w:tc>
      </w:tr>
    </w:tbl>
    <w:p>
      <w:pPr>
        <w:spacing w:after="0" w:before="10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02  —  Système de Permis de Travail en Allemagne</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Depuis novembre 2023, la loi Fachkräfteeinwanderungsgesetz permet aux non-UE qualifiés d'accéder au marché allemand sans prouver l'absence de candidat local. La Bundesagentur für Arbeit (BA) valide les qualifications via la base Anabin. La Chancenkarte (2024) permet de chercher un emploi sur place pendant 1 an.</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1400"/>
        <w:gridCol w:w="4818"/>
      </w:tblGrid>
      <w:tr>
        <w:tc>
          <w:tcPr>
            <w:tcW w:type="auto" w:w="22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Type de permis</w:t>
            </w:r>
          </w:p>
        </w:tc>
        <w:tc>
          <w:tcPr>
            <w:tcW w:type="auto" w:w="15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Durée</w:t>
            </w:r>
          </w:p>
        </w:tc>
        <w:tc>
          <w:tcPr>
            <w:tcW w:type="auto" w:w="14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Offre emploi</w:t>
            </w:r>
          </w:p>
        </w:tc>
        <w:tc>
          <w:tcPr>
            <w:tcW w:type="auto" w:w="4818"/>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Conditions &amp; Avantages</w:t>
            </w:r>
          </w:p>
        </w:tc>
      </w:tr>
      <w:tr>
        <w:tc>
          <w:tcPr>
            <w:tcW w:type="auto" w:w="22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Chancenkarte (Carte Chances)</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CC0000"/>
                <w:sz w:val="16"/>
                <w:szCs w:val="16"/>
              </w:rPr>
              <w:t xml:space="preserve">1 an cherche emploi</w:t>
            </w:r>
          </w:p>
        </w:tc>
        <w:tc>
          <w:tcPr>
            <w:tcW w:type="auto" w:w="14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Non</w:t>
            </w:r>
          </w:p>
        </w:tc>
        <w:tc>
          <w:tcPr>
            <w:tcW w:type="auto" w:w="48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Bac+3 + 1 an exp. + B1 allemand. OU Bac+3 + 3 ans exp. Travail 20h/sem. autorisé.</w:t>
            </w:r>
          </w:p>
        </w:tc>
      </w:tr>
      <w:tr>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EU Blue Card Allemagne</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CC0000"/>
                <w:sz w:val="16"/>
                <w:szCs w:val="16"/>
              </w:rPr>
              <w:t xml:space="preserve">4 ans renouv.</w:t>
            </w:r>
          </w:p>
        </w:tc>
        <w:tc>
          <w:tcPr>
            <w:tcW w:type="auto" w:w="14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(sal. ≥ 40 770 €/an)</w:t>
            </w:r>
          </w:p>
        </w:tc>
        <w:tc>
          <w:tcPr>
            <w:tcW w:type="auto" w:w="48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Mobilité UE après 18 mois. Résidence permanente après 33 mois (27 mois si B1 allemand).</w:t>
            </w:r>
          </w:p>
        </w:tc>
      </w:tr>
      <w:tr>
        <w:tc>
          <w:tcPr>
            <w:tcW w:type="auto" w:w="22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Fachkräfte (qualifié Bac+3)</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CC0000"/>
                <w:sz w:val="16"/>
                <w:szCs w:val="16"/>
              </w:rPr>
              <w:t xml:space="preserve">4 ans renouv.</w:t>
            </w:r>
          </w:p>
        </w:tc>
        <w:tc>
          <w:tcPr>
            <w:tcW w:type="auto" w:w="14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(contrat signé)</w:t>
            </w:r>
          </w:p>
        </w:tc>
        <w:tc>
          <w:tcPr>
            <w:tcW w:type="auto" w:w="48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Pas d'opposabilité emploi depuis 2023. Reconnaissance diplôme Anabin requise.</w:t>
            </w:r>
          </w:p>
        </w:tc>
      </w:tr>
      <w:tr>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Anerkennungspartnerschaft</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CC0000"/>
                <w:sz w:val="16"/>
                <w:szCs w:val="16"/>
              </w:rPr>
              <w:t xml:space="preserve">6 mois + 3 ans</w:t>
            </w:r>
          </w:p>
        </w:tc>
        <w:tc>
          <w:tcPr>
            <w:tcW w:type="auto" w:w="14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(partiel)</w:t>
            </w:r>
          </w:p>
        </w:tc>
        <w:tc>
          <w:tcPr>
            <w:tcW w:type="auto" w:w="48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Travailler pendant la reconnaissance du diplôme — procédure innovante 2024.</w:t>
            </w:r>
          </w:p>
        </w:tc>
      </w:tr>
      <w:tr>
        <w:tc>
          <w:tcPr>
            <w:tcW w:type="auto" w:w="22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Saisonnier</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CC0000"/>
                <w:sz w:val="16"/>
                <w:szCs w:val="16"/>
              </w:rPr>
              <w:t xml:space="preserve">90 jours/an</w:t>
            </w:r>
          </w:p>
        </w:tc>
        <w:tc>
          <w:tcPr>
            <w:tcW w:type="auto" w:w="14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(saisonnier)</w:t>
            </w:r>
          </w:p>
        </w:tc>
        <w:tc>
          <w:tcPr>
            <w:tcW w:type="auto" w:w="48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Agriculture, hôtellerie. Quota annuel. Première étape légale accessible.</w:t>
            </w:r>
          </w:p>
        </w:tc>
      </w:tr>
      <w:tr>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Niederlassungserlaubnis</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CC0000"/>
                <w:sz w:val="16"/>
                <w:szCs w:val="16"/>
              </w:rPr>
              <w:t xml:space="preserve">Permanente</w:t>
            </w:r>
          </w:p>
        </w:tc>
        <w:tc>
          <w:tcPr>
            <w:tcW w:type="auto" w:w="14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Non</w:t>
            </w:r>
          </w:p>
        </w:tc>
        <w:tc>
          <w:tcPr>
            <w:tcW w:type="auto" w:w="48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Après 4 ans Blue Card ou 5 ans autres permis. Liberté totale marché allemand.</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000000" w:val="clear"/>
            <w:vAlign w:val="center"/>
          </w:tcPr>
          <w:p>
            <w:pPr>
              <w:jc w:val="center"/>
            </w:pPr>
            <w:r>
              <w:rPr>
                <w:rFonts w:ascii="Calibri" w:cs="Calibri" w:eastAsia="Calibri" w:hAnsi="Calibri"/>
                <w:sz w:val="22"/>
                <w:szCs w:val="22"/>
              </w:rPr>
              <w:t xml:space="preserve">🌟</w:t>
            </w:r>
          </w:p>
        </w:tc>
        <w:tc>
          <w:tcPr>
            <w:tcW w:type="auto" w:w="9698"/>
            <w:tcBorders>
              <w:top w:val="single" w:color="DDBB66" w:sz="1"/>
              <w:left w:val="single" w:color="DDBB66" w:sz="1"/>
              <w:bottom w:val="single" w:color="DDBB66" w:sz="1"/>
              <w:right w:val="single" w:color="DDBB66" w:sz="1"/>
            </w:tcBorders>
            <w:shd w:fill="FFF8E1" w:val="clear"/>
            <w:tcMar>
              <w:top w:type="dxa" w:w="70"/>
              <w:left w:type="dxa" w:w="160"/>
              <w:bottom w:type="dxa" w:w="70"/>
              <w:right w:type="dxa" w:w="140"/>
            </w:tcMar>
          </w:tcPr>
          <w:p>
            <w:pPr>
              <w:jc w:val="both"/>
            </w:pPr>
            <w:r>
              <w:rPr>
                <w:rFonts w:ascii="Calibri" w:cs="Calibri" w:eastAsia="Calibri" w:hAnsi="Calibri"/>
                <w:color w:val="131E2D"/>
                <w:sz w:val="17"/>
                <w:szCs w:val="17"/>
              </w:rPr>
              <w:t xml:space="preserve">La Chancenkarte est une révolution : visa d'1 an pour chercher un emploi directement en Allemagne sans offre préalable. Pendant ce visa, vous pouvez travailler 20h/semaine. Une fois l'emploi trouvé, vous convertissez en permis de travail classique ou Blue Card. Programme Deutschland.Plus : cours d'allemand financés + aide au vol pour candidats africains qualifiés en santé.</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000000" w:val="clear"/>
            <w:tcMar>
              <w:top w:type="dxa" w:w="90"/>
              <w:left w:type="dxa" w:w="220"/>
              <w:bottom w:type="dxa" w:w="90"/>
              <w:right w:type="dxa" w:w="180"/>
            </w:tcMar>
          </w:tcPr>
          <w:p>
            <w:r>
              <w:rPr>
                <w:rFonts w:ascii="Calibri" w:cs="Calibri" w:eastAsia="Calibri" w:hAnsi="Calibri"/>
                <w:b/>
                <w:bCs/>
                <w:caps/>
                <w:color w:val="FFFFFF"/>
                <w:sz w:val="20"/>
                <w:szCs w:val="20"/>
              </w:rPr>
              <w:t xml:space="preserve">03  —  Secteurs en Tension &amp; Opportunités par Secteur</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300"/>
        <w:gridCol w:w="1800"/>
        <w:gridCol w:w="1650"/>
        <w:gridCol w:w="1600"/>
        <w:gridCol w:w="1600"/>
        <w:gridCol w:w="2968"/>
      </w:tblGrid>
      <w:tr>
        <w:tc>
          <w:tcPr>
            <w:tcW w:type="auto" w:w="3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
            </w:r>
          </w:p>
        </w:tc>
        <w:tc>
          <w:tcPr>
            <w:tcW w:type="auto" w:w="18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Secteur</w:t>
            </w:r>
          </w:p>
        </w:tc>
        <w:tc>
          <w:tcPr>
            <w:tcW w:type="auto" w:w="165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Postes/an</w:t>
            </w:r>
          </w:p>
        </w:tc>
        <w:tc>
          <w:tcPr>
            <w:tcW w:type="auto" w:w="16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Salaire brut/mois</w:t>
            </w:r>
          </w:p>
        </w:tc>
        <w:tc>
          <w:tcPr>
            <w:tcW w:type="auto" w:w="16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Permis</w:t>
            </w:r>
          </w:p>
        </w:tc>
        <w:tc>
          <w:tcPr>
            <w:tcW w:type="auto" w:w="2968"/>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Atout Camerounais</w:t>
            </w:r>
          </w:p>
        </w:tc>
      </w:tr>
      <w:tr>
        <w:tc>
          <w:tcPr>
            <w:tcW w:type="auto" w:w="300"/>
            <w:tcBorders>
              <w:top w:val="single" w:color="DDBB66" w:sz="1"/>
              <w:left w:val="single" w:color="DDBB66" w:sz="1"/>
              <w:bottom w:val="single" w:color="DDBB66" w:sz="1"/>
              <w:right w:val="single" w:color="DDBB66" w:sz="1"/>
            </w:tcBorders>
            <w:shd w:fill="FFF8E1"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Santé — Infirmiers / Médecins</w:t>
            </w:r>
          </w:p>
        </w:tc>
        <w:tc>
          <w:tcPr>
            <w:tcW w:type="auto" w:w="165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300 000+/an</w:t>
            </w:r>
          </w:p>
        </w:tc>
        <w:tc>
          <w:tcPr>
            <w:tcW w:type="auto" w:w="16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3 000–6 000 €</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Blue Card / Fachkräfte</w:t>
            </w:r>
          </w:p>
        </w:tc>
        <w:tc>
          <w:tcPr>
            <w:tcW w:type="auto" w:w="296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Directive UE reconnue — Deutschland.Plus recrute en Afrique</w:t>
            </w:r>
          </w:p>
        </w:tc>
      </w:tr>
      <w:tr>
        <w:tc>
          <w:tcPr>
            <w:tcW w:type="auto" w:w="300"/>
            <w:tcBorders>
              <w:top w:val="single" w:color="DDBB66" w:sz="1"/>
              <w:left w:val="single" w:color="DDBB66" w:sz="1"/>
              <w:bottom w:val="single" w:color="DDBB66" w:sz="1"/>
              <w:right w:val="single" w:color="DDBB66"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IT &amp; Ingénierie logicielle</w:t>
            </w:r>
          </w:p>
        </w:tc>
        <w:tc>
          <w:tcPr>
            <w:tcW w:type="auto" w:w="165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150 000+/an</w:t>
            </w:r>
          </w:p>
        </w:tc>
        <w:tc>
          <w:tcPr>
            <w:tcW w:type="auto" w:w="16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4 000–8 000 €</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Blue Card / Chancenkarte</w:t>
            </w:r>
          </w:p>
        </w:tc>
        <w:tc>
          <w:tcPr>
            <w:tcW w:type="auto" w:w="296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Berlin Silicon Allee — anglais 100% accepté startups</w:t>
            </w:r>
          </w:p>
        </w:tc>
      </w:tr>
      <w:tr>
        <w:tc>
          <w:tcPr>
            <w:tcW w:type="auto" w:w="300"/>
            <w:tcBorders>
              <w:top w:val="single" w:color="DDBB66" w:sz="1"/>
              <w:left w:val="single" w:color="DDBB66" w:sz="1"/>
              <w:bottom w:val="single" w:color="DDBB66" w:sz="1"/>
              <w:right w:val="single" w:color="DDBB66" w:sz="1"/>
            </w:tcBorders>
            <w:shd w:fill="FFF8E1"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Ingénierie mécanique &amp; automobile</w:t>
            </w:r>
          </w:p>
        </w:tc>
        <w:tc>
          <w:tcPr>
            <w:tcW w:type="auto" w:w="165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200 000+/an</w:t>
            </w:r>
          </w:p>
        </w:tc>
        <w:tc>
          <w:tcPr>
            <w:tcW w:type="auto" w:w="16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3 500–6 500 €</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Blue Card / Fachkräfte</w:t>
            </w:r>
          </w:p>
        </w:tc>
        <w:tc>
          <w:tcPr>
            <w:tcW w:type="auto" w:w="296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BMW, Siemens, Bosch recrutent — ingénieurs ENSP reconnus</w:t>
            </w:r>
          </w:p>
        </w:tc>
      </w:tr>
      <w:tr>
        <w:tc>
          <w:tcPr>
            <w:tcW w:type="auto" w:w="300"/>
            <w:tcBorders>
              <w:top w:val="single" w:color="DDBB66" w:sz="1"/>
              <w:left w:val="single" w:color="DDBB66" w:sz="1"/>
              <w:bottom w:val="single" w:color="DDBB66" w:sz="1"/>
              <w:right w:val="single" w:color="DDBB66"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BTP &amp; Architecture</w:t>
            </w:r>
          </w:p>
        </w:tc>
        <w:tc>
          <w:tcPr>
            <w:tcW w:type="auto" w:w="165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180 000+/an</w:t>
            </w:r>
          </w:p>
        </w:tc>
        <w:tc>
          <w:tcPr>
            <w:tcW w:type="auto" w:w="16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2 500–4 500 €</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Fachkräfte</w:t>
            </w:r>
          </w:p>
        </w:tc>
        <w:tc>
          <w:tcPr>
            <w:tcW w:type="auto" w:w="296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PNRR + Reconstruction Est — besoin massif ingénieurs BTP</w:t>
            </w:r>
          </w:p>
        </w:tc>
      </w:tr>
      <w:tr>
        <w:tc>
          <w:tcPr>
            <w:tcW w:type="auto" w:w="300"/>
            <w:tcBorders>
              <w:top w:val="single" w:color="DDBB66" w:sz="1"/>
              <w:left w:val="single" w:color="DDBB66" w:sz="1"/>
              <w:bottom w:val="single" w:color="DDBB66" w:sz="1"/>
              <w:right w:val="single" w:color="DDBB66" w:sz="1"/>
            </w:tcBorders>
            <w:shd w:fill="FFF8E1"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Transport &amp; Logistique</w:t>
            </w:r>
          </w:p>
        </w:tc>
        <w:tc>
          <w:tcPr>
            <w:tcW w:type="auto" w:w="165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120 000+/an</w:t>
            </w:r>
          </w:p>
        </w:tc>
        <w:tc>
          <w:tcPr>
            <w:tcW w:type="auto" w:w="16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2 200–3 500 €</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Fachkräfte</w:t>
            </w:r>
          </w:p>
        </w:tc>
        <w:tc>
          <w:tcPr>
            <w:tcW w:type="auto" w:w="296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Permis CE + CPC = accès immédiat. 400 000 postes Europe.</w:t>
            </w:r>
          </w:p>
        </w:tc>
      </w:tr>
      <w:tr>
        <w:tc>
          <w:tcPr>
            <w:tcW w:type="auto" w:w="300"/>
            <w:tcBorders>
              <w:top w:val="single" w:color="DDBB66" w:sz="1"/>
              <w:left w:val="single" w:color="DDBB66" w:sz="1"/>
              <w:bottom w:val="single" w:color="DDBB66" w:sz="1"/>
              <w:right w:val="single" w:color="DDBB66"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Agriculture &amp; Agroalimentaire</w:t>
            </w:r>
          </w:p>
        </w:tc>
        <w:tc>
          <w:tcPr>
            <w:tcW w:type="auto" w:w="165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80 000+/an</w:t>
            </w:r>
          </w:p>
        </w:tc>
        <w:tc>
          <w:tcPr>
            <w:tcW w:type="auto" w:w="16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1 800–2 800 €</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Saisonnier / Fachkräfte</w:t>
            </w:r>
          </w:p>
        </w:tc>
        <w:tc>
          <w:tcPr>
            <w:tcW w:type="auto" w:w="296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Bavière, Rhénanie — saisonniers accessibles 1ère étape</w:t>
            </w:r>
          </w:p>
        </w:tc>
      </w:tr>
      <w:tr>
        <w:tc>
          <w:tcPr>
            <w:tcW w:type="auto" w:w="300"/>
            <w:tcBorders>
              <w:top w:val="single" w:color="DDBB66" w:sz="1"/>
              <w:left w:val="single" w:color="DDBB66" w:sz="1"/>
              <w:bottom w:val="single" w:color="DDBB66" w:sz="1"/>
              <w:right w:val="single" w:color="DDBB66" w:sz="1"/>
            </w:tcBorders>
            <w:shd w:fill="FFF8E1"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Recherche &amp; Développement</w:t>
            </w:r>
          </w:p>
        </w:tc>
        <w:tc>
          <w:tcPr>
            <w:tcW w:type="auto" w:w="165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60 000+/an</w:t>
            </w:r>
          </w:p>
        </w:tc>
        <w:tc>
          <w:tcPr>
            <w:tcW w:type="auto" w:w="16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3 500–7 000 €</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Blue Card / Chercheur</w:t>
            </w:r>
          </w:p>
        </w:tc>
        <w:tc>
          <w:tcPr>
            <w:tcW w:type="auto" w:w="296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Max-Planck, Fraunhofer — doctorants recrutés mondialement</w:t>
            </w:r>
          </w:p>
        </w:tc>
      </w:tr>
      <w:tr>
        <w:tc>
          <w:tcPr>
            <w:tcW w:type="auto" w:w="300"/>
            <w:tcBorders>
              <w:top w:val="single" w:color="DDBB66" w:sz="1"/>
              <w:left w:val="single" w:color="DDBB66" w:sz="1"/>
              <w:bottom w:val="single" w:color="DDBB66" w:sz="1"/>
              <w:right w:val="single" w:color="DDBB66"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Électricien / Technicien maintenance</w:t>
            </w:r>
          </w:p>
        </w:tc>
        <w:tc>
          <w:tcPr>
            <w:tcW w:type="auto" w:w="165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100 000+/an</w:t>
            </w:r>
          </w:p>
        </w:tc>
        <w:tc>
          <w:tcPr>
            <w:tcW w:type="auto" w:w="16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2 800–4 500 €</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Fachkräfte</w:t>
            </w:r>
          </w:p>
        </w:tc>
        <w:tc>
          <w:tcPr>
            <w:tcW w:type="auto" w:w="296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CAP électricité reconnu — Ausbildung possible après arrivée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8A400" w:val="clear"/>
            <w:vAlign w:val="center"/>
          </w:tcPr>
          <w:p>
            <w:pPr>
              <w:jc w:val="center"/>
            </w:pPr>
            <w:r>
              <w:rPr>
                <w:rFonts w:ascii="Calibri" w:cs="Calibri" w:eastAsia="Calibri" w:hAnsi="Calibri"/>
                <w:sz w:val="22"/>
                <w:szCs w:val="22"/>
              </w:rPr>
              <w:t xml:space="preserve">⭐</w:t>
            </w:r>
          </w:p>
        </w:tc>
        <w:tc>
          <w:tcPr>
            <w:tcW w:type="auto" w:w="9698"/>
            <w:tcBorders>
              <w:top w:val="single" w:color="DDBB66" w:sz="1"/>
              <w:left w:val="single" w:color="DDBB66" w:sz="1"/>
              <w:bottom w:val="single" w:color="DDBB66" w:sz="1"/>
              <w:right w:val="single" w:color="DDBB66" w:sz="1"/>
            </w:tcBorders>
            <w:shd w:fill="FFFBE6" w:val="clear"/>
            <w:tcMar>
              <w:top w:type="dxa" w:w="70"/>
              <w:left w:type="dxa" w:w="160"/>
              <w:bottom w:type="dxa" w:w="70"/>
              <w:right w:type="dxa" w:w="140"/>
            </w:tcMar>
          </w:tcPr>
          <w:p>
            <w:pPr>
              <w:jc w:val="both"/>
            </w:pPr>
            <w:r>
              <w:rPr>
                <w:rFonts w:ascii="Calibri" w:cs="Calibri" w:eastAsia="Calibri" w:hAnsi="Calibri"/>
                <w:color w:val="131E2D"/>
                <w:sz w:val="17"/>
                <w:szCs w:val="17"/>
              </w:rPr>
              <w:t xml:space="preserve">TOP 3 Camerounais en Allemagne 2026 : 🏥 Infirmier Deutschland.Plus — 300 000 postes, directive UE, cours allemand financés, salaire 3 000–4 500 €. 💻 Développeur IT Chancenkarte — 150 000 postes, anglais 100%, Blue Card directe, 4 500–7 000 €. ⚙ Ingénieur industriel — 200 000 postes, BMW/Siemens, 4 000–6 500 €.</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04  —  Régions, Salaires &amp; Hébergement Détaillé</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Allemagne présente des disparités régionales importantes. Choisissez votre région selon votre secteur, votre salaire cible et votre budget logement.</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1500"/>
        <w:gridCol w:w="1500"/>
        <w:gridCol w:w="1500"/>
        <w:gridCol w:w="1718"/>
      </w:tblGrid>
      <w:tr>
        <w:tc>
          <w:tcPr>
            <w:tcW w:type="auto" w:w="17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Région</w:t>
            </w:r>
          </w:p>
        </w:tc>
        <w:tc>
          <w:tcPr>
            <w:tcW w:type="auto" w:w="15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Secteur phare</w:t>
            </w:r>
          </w:p>
        </w:tc>
        <w:tc>
          <w:tcPr>
            <w:tcW w:type="auto" w:w="15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Salaire moyen</w:t>
            </w:r>
          </w:p>
        </w:tc>
        <w:tc>
          <w:tcPr>
            <w:tcW w:type="auto" w:w="15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Loyer studio/mois</w:t>
            </w:r>
          </w:p>
        </w:tc>
        <w:tc>
          <w:tcPr>
            <w:tcW w:type="auto" w:w="15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Coût vie/mois</w:t>
            </w:r>
          </w:p>
        </w:tc>
        <w:tc>
          <w:tcPr>
            <w:tcW w:type="auto" w:w="1718"/>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Villes clés</w:t>
            </w:r>
          </w:p>
        </w:tc>
      </w:tr>
      <w:tr>
        <w:tc>
          <w:tcPr>
            <w:tcW w:type="auto" w:w="1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Bavière</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IT, Industrie, Santé</w:t>
            </w:r>
          </w:p>
        </w:tc>
        <w:tc>
          <w:tcPr>
            <w:tcW w:type="auto" w:w="15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3 500–7 000 €</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000000"/>
                <w:sz w:val="14"/>
                <w:szCs w:val="14"/>
              </w:rPr>
              <w:t xml:space="preserve">900–2 000 €</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2 000–3 500 €</w:t>
            </w:r>
          </w:p>
        </w:tc>
        <w:tc>
          <w:tcPr>
            <w:tcW w:type="auto" w:w="1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Munich, Augsbourg, Nuremberg</w:t>
            </w:r>
          </w:p>
        </w:tc>
      </w:tr>
      <w:tr>
        <w:tc>
          <w:tcPr>
            <w:tcW w:type="auto" w:w="1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Berlin</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Tech, Startup, Culture</w:t>
            </w:r>
          </w:p>
        </w:tc>
        <w:tc>
          <w:tcPr>
            <w:tcW w:type="auto" w:w="15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3 000–6 000 €</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000000"/>
                <w:sz w:val="14"/>
                <w:szCs w:val="14"/>
              </w:rPr>
              <w:t xml:space="preserve">700–1 500 €</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1 800–3 000 €</w:t>
            </w:r>
          </w:p>
        </w:tc>
        <w:tc>
          <w:tcPr>
            <w:tcW w:type="auto" w:w="1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Berlin, Potsdam</w:t>
            </w:r>
          </w:p>
        </w:tc>
      </w:tr>
      <w:tr>
        <w:tc>
          <w:tcPr>
            <w:tcW w:type="auto" w:w="1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Rhénanie-du-Nord-W.</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Finance, Industrie, IT</w:t>
            </w:r>
          </w:p>
        </w:tc>
        <w:tc>
          <w:tcPr>
            <w:tcW w:type="auto" w:w="15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3 000–5 500 €</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000000"/>
                <w:sz w:val="14"/>
                <w:szCs w:val="14"/>
              </w:rPr>
              <w:t xml:space="preserve">700–1 300 €</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1 700–2 800 €</w:t>
            </w:r>
          </w:p>
        </w:tc>
        <w:tc>
          <w:tcPr>
            <w:tcW w:type="auto" w:w="1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Cologne, Düsseldorf, Dortmund</w:t>
            </w:r>
          </w:p>
        </w:tc>
      </w:tr>
      <w:tr>
        <w:tc>
          <w:tcPr>
            <w:tcW w:type="auto" w:w="1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Hambourg</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Logistique, Maritime, IT</w:t>
            </w:r>
          </w:p>
        </w:tc>
        <w:tc>
          <w:tcPr>
            <w:tcW w:type="auto" w:w="15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3 000–5 500 €</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000000"/>
                <w:sz w:val="14"/>
                <w:szCs w:val="14"/>
              </w:rPr>
              <w:t xml:space="preserve">800–1 600 €</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1 800–3 000 €</w:t>
            </w:r>
          </w:p>
        </w:tc>
        <w:tc>
          <w:tcPr>
            <w:tcW w:type="auto" w:w="1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Hambourg, Kiel, Lübeck</w:t>
            </w:r>
          </w:p>
        </w:tc>
      </w:tr>
      <w:tr>
        <w:tc>
          <w:tcPr>
            <w:tcW w:type="auto" w:w="1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Saxe / Ex-RDA</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Industrie, BTP, Tech</w:t>
            </w:r>
          </w:p>
        </w:tc>
        <w:tc>
          <w:tcPr>
            <w:tcW w:type="auto" w:w="15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2 500–4 500 €</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000000"/>
                <w:sz w:val="14"/>
                <w:szCs w:val="14"/>
              </w:rPr>
              <w:t xml:space="preserve">400–800 €</w:t>
            </w:r>
          </w:p>
        </w:tc>
        <w:tc>
          <w:tcPr>
            <w:tcW w:type="auto" w:w="15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1 200–2 000 €</w:t>
            </w:r>
          </w:p>
        </w:tc>
        <w:tc>
          <w:tcPr>
            <w:tcW w:type="auto" w:w="1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Leipzig, Dresde, Erfurt</w:t>
            </w:r>
          </w:p>
        </w:tc>
      </w:tr>
      <w:tr>
        <w:tc>
          <w:tcPr>
            <w:tcW w:type="auto" w:w="1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Bade-Wurtemberg</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Industrie auto, Pharma</w:t>
            </w:r>
          </w:p>
        </w:tc>
        <w:tc>
          <w:tcPr>
            <w:tcW w:type="auto" w:w="15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3 200–6 500 €</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000000"/>
                <w:sz w:val="14"/>
                <w:szCs w:val="14"/>
              </w:rPr>
              <w:t xml:space="preserve">700–1 400 €</w:t>
            </w:r>
          </w:p>
        </w:tc>
        <w:tc>
          <w:tcPr>
            <w:tcW w:type="auto" w:w="15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1 700–2 800 €</w:t>
            </w:r>
          </w:p>
        </w:tc>
        <w:tc>
          <w:tcPr>
            <w:tcW w:type="auto" w:w="1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Stuttgart, Fribourg, Mannheim</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000000" w:val="clear"/>
            <w:tcMar>
              <w:top w:type="dxa" w:w="90"/>
              <w:left w:type="dxa" w:w="220"/>
              <w:bottom w:type="dxa" w:w="90"/>
              <w:right w:type="dxa" w:w="180"/>
            </w:tcMar>
          </w:tcPr>
          <w:p>
            <w:r>
              <w:rPr>
                <w:rFonts w:ascii="Calibri" w:cs="Calibri" w:eastAsia="Calibri" w:hAnsi="Calibri"/>
                <w:b/>
                <w:bCs/>
                <w:caps/>
                <w:color w:val="FFFFFF"/>
                <w:sz w:val="20"/>
                <w:szCs w:val="20"/>
              </w:rPr>
              <w:t xml:space="preserve">04b  —  Types de Logement &amp; Conseils Hébergement</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1600"/>
        <w:gridCol w:w="4518"/>
      </w:tblGrid>
      <w:tr>
        <w:tc>
          <w:tcPr>
            <w:tcW w:type="auto" w:w="20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Type de logement</w:t>
            </w:r>
          </w:p>
        </w:tc>
        <w:tc>
          <w:tcPr>
            <w:tcW w:type="auto" w:w="18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Coût mensuel</w:t>
            </w:r>
          </w:p>
        </w:tc>
        <w:tc>
          <w:tcPr>
            <w:tcW w:type="auto" w:w="16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Disponibilité</w:t>
            </w:r>
          </w:p>
        </w:tc>
        <w:tc>
          <w:tcPr>
            <w:tcW w:type="auto" w:w="4518"/>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Conseils pratiques</w:t>
            </w:r>
          </w:p>
        </w:tc>
      </w:tr>
      <w:tr>
        <w:tc>
          <w:tcPr>
            <w:tcW w:type="auto" w:w="20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Studio meublé</w:t>
            </w:r>
          </w:p>
        </w:tc>
        <w:tc>
          <w:tcPr>
            <w:tcW w:type="auto" w:w="18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800–2 000 € Munich / 600–1 400 € Berlin / 400–800 € Est</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Élevée</w:t>
            </w:r>
          </w:p>
        </w:tc>
        <w:tc>
          <w:tcPr>
            <w:tcW w:type="auto" w:w="45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Idéal 1ère installation. Chercher via ImmobilienScout24.de, WG-Gesucht.de, Immowelt.de, eBay Kleinanzeigen</w:t>
            </w:r>
          </w:p>
        </w:tc>
      </w:tr>
      <w:tr>
        <w:tc>
          <w:tcPr>
            <w:tcW w:type="auto" w:w="20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Colocation</w:t>
            </w:r>
          </w:p>
        </w:tc>
        <w:tc>
          <w:tcPr>
            <w:tcW w:type="auto" w:w="18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350–700 €/mois chambre (WG)</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Très haute</w:t>
            </w:r>
          </w:p>
        </w:tc>
        <w:tc>
          <w:tcPr>
            <w:tcW w:type="auto" w:w="45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Option la plus économique. Réseau diaspora africaine recommandé.</w:t>
            </w:r>
          </w:p>
        </w:tc>
      </w:tr>
      <w:tr>
        <w:tc>
          <w:tcPr>
            <w:tcW w:type="auto" w:w="20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Résidence universitaire</w:t>
            </w:r>
          </w:p>
        </w:tc>
        <w:tc>
          <w:tcPr>
            <w:tcW w:type="auto" w:w="18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250–450 €/mois (Studentenwerk)</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Limitée</w:t>
            </w:r>
          </w:p>
        </w:tc>
        <w:tc>
          <w:tcPr>
            <w:tcW w:type="auto" w:w="45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Inscription 3-6 mois à l'avance obligatoire.</w:t>
            </w:r>
          </w:p>
        </w:tc>
      </w:tr>
      <w:tr>
        <w:tc>
          <w:tcPr>
            <w:tcW w:type="auto" w:w="20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Hôtel / Airbnb (1ères semaines)</w:t>
            </w:r>
          </w:p>
        </w:tc>
        <w:tc>
          <w:tcPr>
            <w:tcW w:type="auto" w:w="18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70–180 €/nuit (Ibis, Meininger, A&amp;O)</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Disponible</w:t>
            </w:r>
          </w:p>
        </w:tc>
        <w:tc>
          <w:tcPr>
            <w:tcW w:type="auto" w:w="45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Max 2 semaines. Airbnb longue durée = moins cher que l'hôtel.</w:t>
            </w:r>
          </w:p>
        </w:tc>
      </w:tr>
      <w:tr>
        <w:tc>
          <w:tcPr>
            <w:tcW w:type="auto" w:w="20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6"/>
                <w:szCs w:val="16"/>
              </w:rPr>
              <w:t xml:space="preserve">🏭 Logement fourni employeur</w:t>
            </w:r>
          </w:p>
        </w:tc>
        <w:tc>
          <w:tcPr>
            <w:tcW w:type="auto" w:w="18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Gratuit ou déduit sal.</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Selon offre</w:t>
            </w:r>
          </w:p>
        </w:tc>
        <w:tc>
          <w:tcPr>
            <w:tcW w:type="auto" w:w="45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Fréquent dans agriculture, hôtellerie, BTP. Demandez dès le départ.</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000000" w:val="clear"/>
            <w:vAlign w:val="center"/>
          </w:tcPr>
          <w:p>
            <w:pPr>
              <w:jc w:val="center"/>
            </w:pPr>
            <w:r>
              <w:rPr>
                <w:rFonts w:ascii="Calibri" w:cs="Calibri" w:eastAsia="Calibri" w:hAnsi="Calibri"/>
                <w:sz w:val="22"/>
                <w:szCs w:val="22"/>
              </w:rPr>
              <w:t xml:space="preserve">🏠</w:t>
            </w:r>
          </w:p>
        </w:tc>
        <w:tc>
          <w:tcPr>
            <w:tcW w:type="auto" w:w="9698"/>
            <w:tcBorders>
              <w:top w:val="single" w:color="DDBB66" w:sz="1"/>
              <w:left w:val="single" w:color="DDBB66" w:sz="1"/>
              <w:bottom w:val="single" w:color="DDBB66" w:sz="1"/>
              <w:right w:val="single" w:color="DDBB66" w:sz="1"/>
            </w:tcBorders>
            <w:shd w:fill="FFF8E1" w:val="clear"/>
            <w:tcMar>
              <w:top w:type="dxa" w:w="70"/>
              <w:left w:type="dxa" w:w="160"/>
              <w:bottom w:type="dxa" w:w="70"/>
              <w:right w:type="dxa" w:w="140"/>
            </w:tcMar>
          </w:tcPr>
          <w:p>
            <w:pPr>
              <w:jc w:val="both"/>
            </w:pPr>
            <w:r>
              <w:rPr>
                <w:rFonts w:ascii="Calibri" w:cs="Calibri" w:eastAsia="Calibri" w:hAnsi="Calibri"/>
                <w:color w:val="131E2D"/>
                <w:sz w:val="17"/>
                <w:szCs w:val="17"/>
              </w:rPr>
              <w:t xml:space="preserve">Munich est la ville la plus chère — priorisez Leipzig, Dresde ou Erfurt (Est) pour un coût 40% inférieur avec des salaires similaires. Berlin offre le meilleur rapport qualité/vie pour les profils IT et créatifs. WG-Gesucht est LA plateforme de colocation — ouvrez un profil soigné dès maintenant.</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000000" w:val="clear"/>
            <w:tcMar>
              <w:top w:type="dxa" w:w="90"/>
              <w:left w:type="dxa" w:w="220"/>
              <w:bottom w:type="dxa" w:w="90"/>
              <w:right w:type="dxa" w:w="180"/>
            </w:tcMar>
          </w:tcPr>
          <w:p>
            <w:r>
              <w:rPr>
                <w:rFonts w:ascii="Calibri" w:cs="Calibri" w:eastAsia="Calibri" w:hAnsi="Calibri"/>
                <w:b/>
                <w:bCs/>
                <w:caps/>
                <w:color w:val="FFFFFF"/>
                <w:sz w:val="20"/>
                <w:szCs w:val="20"/>
              </w:rPr>
              <w:t xml:space="preserve">05  —  Procédure Complète — 8 Étapes Détaillées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01</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Analyse de profil &amp; stratégie personnalisée</w:t>
            </w:r>
          </w:p>
          <w:p>
            <w:pPr>
              <w:spacing w:after="0" w:before="0"/>
            </w:pPr>
            <w:r>
              <w:rPr>
                <w:rFonts w:ascii="Calibri" w:cs="Calibri" w:eastAsia="Calibri" w:hAnsi="Calibri"/>
                <w:i/>
                <w:iCs/>
                <w:color w:val="4A6080"/>
                <w:sz w:val="16"/>
                <w:szCs w:val="16"/>
              </w:rPr>
              <w:t xml:space="preserve">3M Travel — Consultation gratuite &amp; sans engagement</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Évaluation complète de votre dossier professionnel : formation, expérience, secteur, langue, situation familiale. Identification du pays + secteur + type de permis optimal.</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Pour les métiers réglementés : vérification préalable des conditions de reconnaissance de diplôme auprès de l'autorité compétente. Délai anticipé dès cette phase.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Rapport d'orientation écrit remis sous 48h : secteur recommandé, région, type de permis, délai estimé, budget prévisionnel personnalisé.</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Documents requis : CV Europass • copies diplômes • certificats de travail + lettres de référence • passeport valide • casier judiciaire.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000000" w:sz="6"/>
              <w:bottom w:val="none" w:color="FFFFFF" w:sz="0"/>
              <w:right w:val="none" w:color="FFFFFF" w:sz="0"/>
            </w:tcBorders>
            <w:shd w:fill="FFF8E1"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 Consultation 100% gratuite — Aucun engagement financier avant signature du mandat.</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02</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Recherche d'employeur &amp; obtention du contrat</w:t>
            </w:r>
          </w:p>
          <w:p>
            <w:pPr>
              <w:spacing w:after="0" w:before="0"/>
            </w:pPr>
            <w:r>
              <w:rPr>
                <w:rFonts w:ascii="Calibri" w:cs="Calibri" w:eastAsia="Calibri" w:hAnsi="Calibri"/>
                <w:i/>
                <w:iCs/>
                <w:color w:val="4A6080"/>
                <w:sz w:val="16"/>
                <w:szCs w:val="16"/>
              </w:rPr>
              <w:t xml:space="preserve">3M Travel + réseau partenaires employeurs locaux</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Mise en relation avec notre réseau d'employeurs partenaires vérifiés dans votre secteur et région cibles. Présentation de votre profil candidat.</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L'employeur établit un contrat de travail conforme aux conventions collectives du pays. Ce contrat est la pièce maîtresse de toute la procédure.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3M Travel valide chaque contrat avant signature : poste conforme, salaire au-dessus du minimum sectoriel, durée légale, aucune clause abusive.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Délai de recherche : 2 à 8 semaines selon secteur et période. 3M Travel vous informe à chaque étape.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000000" w:sz="6"/>
              <w:bottom w:val="none" w:color="FFFFFF" w:sz="0"/>
              <w:right w:val="none" w:color="FFFFFF" w:sz="0"/>
            </w:tcBorders>
            <w:shd w:fill="FFF8E1"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ℹ 3M Travel ne propose que des employeurs vérifiés et enregistrés légalement. Aucun contrat fantôme ni recruteur frauduleux dans notre réseau.</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03</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Constitution du dossier de permis de travail</w:t>
            </w:r>
          </w:p>
          <w:p>
            <w:pPr>
              <w:spacing w:after="0" w:before="0"/>
            </w:pPr>
            <w:r>
              <w:rPr>
                <w:rFonts w:ascii="Calibri" w:cs="Calibri" w:eastAsia="Calibri" w:hAnsi="Calibri"/>
                <w:i/>
                <w:iCs/>
                <w:color w:val="4A6080"/>
                <w:sz w:val="16"/>
                <w:szCs w:val="16"/>
              </w:rPr>
              <w:t xml:space="preserve">Candidat + 3M Travel — Étape technique et décisive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Constitution du dossier complet selon le type de permis et le pays cible. 3M Travel prépare et vérifie chaque document avant soumission.</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Documents clés : CV Europass bilingue • contrat signé • diplômes légalisés + traduction assermentée + apostille • lettres de référence • casier judiciaire apostillé + traduction • AVI • formulaires officiels.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Pour les métiers réglementés : initiation du dossier ENIC-NARIC dès cette étape. Délai reconnaissance : 8 à 16 semaines selon profession.</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3M Travel coordonne la communication entre vous et l'employeur pour les documents que ce dernier doit fournir.</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D4A017" w:sz="6"/>
              <w:bottom w:val="none" w:color="FFFFFF" w:sz="0"/>
              <w:right w:val="none" w:color="FFFFFF" w:sz="0"/>
            </w:tcBorders>
            <w:shd w:fill="FFF3CD"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 Un dossier incomplet = refus automatique. 3M Travel applique un protocole de vérification en 27 points avant chaque dépôt.</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04</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Obtention du permis de travail</w:t>
            </w:r>
          </w:p>
          <w:p>
            <w:pPr>
              <w:spacing w:after="0" w:before="0"/>
            </w:pPr>
            <w:r>
              <w:rPr>
                <w:rFonts w:ascii="Calibri" w:cs="Calibri" w:eastAsia="Calibri" w:hAnsi="Calibri"/>
                <w:i/>
                <w:iCs/>
                <w:color w:val="4A6080"/>
                <w:sz w:val="16"/>
                <w:szCs w:val="16"/>
              </w:rPr>
              <w:t xml:space="preserve">Autorités du pays cible — Délai 1 à 4 mois selon pays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Le dossier est traité par l'autorité compétente du pays cible. 3M Travel assure le suivi en temps réel et répond aux demandes complémentaires dans les délais.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En cas d'approbation : délivrance de l'autorisation ou du permis de travail — document indispensable pour la demande de visa à l'ambassade.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En cas de demande de documents supplémentaires : 3M Travel collecte et transmet pour éviter tout rejet technique ou retard.</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En cas de refus : analyse des motifs, voies de recours disponibles, orientation vers une alternative adaptée au profil.</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000000" w:sz="6"/>
              <w:bottom w:val="none" w:color="FFFFFF" w:sz="0"/>
              <w:right w:val="none" w:color="FFFFFF" w:sz="0"/>
            </w:tcBorders>
            <w:shd w:fill="FFF8E1"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ℹ 3M Travel maintient des contacts réguliers avec les services d'immigration pour suivre chaque dossier et anticiper les délais.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05</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Visa long séjour Type D à l'ambassade</w:t>
            </w:r>
          </w:p>
          <w:p>
            <w:pPr>
              <w:spacing w:after="0" w:before="0"/>
            </w:pPr>
            <w:r>
              <w:rPr>
                <w:rFonts w:ascii="Calibri" w:cs="Calibri" w:eastAsia="Calibri" w:hAnsi="Calibri"/>
                <w:i/>
                <w:iCs/>
                <w:color w:val="4A6080"/>
                <w:sz w:val="16"/>
                <w:szCs w:val="16"/>
              </w:rPr>
              <w:t xml:space="preserve">Ambassade compétente à Yaoundé — Dépôt en personne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Sur présentation de l'autorisation de travail, dépôt du dossier de visa D à l'ambassade compétente à Yaoundé. Ce visa autorise l'entrée et le séjour pour travailler.</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Documents : autorisation de travail • passeport valide (6 mois min) • 2 photos biométriques • contrat signé • justificatif logement • AVI • casier judiciaire légalisé • relevés bancaires • formulaire visa D.</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Délai consulaire : 15 à 60 jours selon ambassade et saison. Frais consulaires non remboursables en cas de refus.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3M Travel vous prépare intégralement : simulation entretien, vérification cohérence dossier, lettre de motivation personnalisée.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000000" w:sz="6"/>
              <w:bottom w:val="none" w:color="FFFFFF" w:sz="0"/>
              <w:right w:val="none" w:color="FFFFFF" w:sz="0"/>
            </w:tcBorders>
            <w:shd w:fill="FFF8E1"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 3M Travel dépose uniquement des dossiers complets et conformes pour maximiser le taux de succès consulaire.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06</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Arrivée, formalités &amp; titre de séjour</w:t>
            </w:r>
          </w:p>
          <w:p>
            <w:pPr>
              <w:spacing w:after="0" w:before="0"/>
            </w:pPr>
            <w:r>
              <w:rPr>
                <w:rFonts w:ascii="Calibri" w:cs="Calibri" w:eastAsia="Calibri" w:hAnsi="Calibri"/>
                <w:i/>
                <w:iCs/>
                <w:color w:val="4A6080"/>
                <w:sz w:val="16"/>
                <w:szCs w:val="16"/>
              </w:rPr>
              <w:t xml:space="preserve">Pays cible — Premières semaines — Formalités prioritaires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À l'arrivée : présentation du passeport + visa D au contrôle frontalier. Transport vers le logement préparé à l'avance. Installation dans les premières 48h.</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Formalités prioritaires : inscription à la commune • inscription sécurité sociale • ouverture compte bancaire local • obtention titre de séjour ou carte de résident.</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Affiliation santé obligatoire dans les premiers jours selon le pays cible. Indispensable pour accéder aux soins médicaux.</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3M Travel brief intégralement avant le départ sur chaque formalité et reste disponible sur WhatsApp les premiers jours.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000000" w:sz="6"/>
              <w:bottom w:val="none" w:color="FFFFFF" w:sz="0"/>
              <w:right w:val="none" w:color="FFFFFF" w:sz="0"/>
            </w:tcBorders>
            <w:shd w:fill="FFF8E1"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 3M Travel fournit un guide d'arrivée personnalisé selon le pays et la ville — liste des bureaux, documents à préparer, délais à respecter.</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07</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Prise de poste &amp; intégration professionnelle</w:t>
            </w:r>
          </w:p>
          <w:p>
            <w:pPr>
              <w:spacing w:after="0" w:before="0"/>
            </w:pPr>
            <w:r>
              <w:rPr>
                <w:rFonts w:ascii="Calibri" w:cs="Calibri" w:eastAsia="Calibri" w:hAnsi="Calibri"/>
                <w:i/>
                <w:iCs/>
                <w:color w:val="4A6080"/>
                <w:sz w:val="16"/>
                <w:szCs w:val="16"/>
              </w:rPr>
              <w:t xml:space="preserve">Employeur + Candidat — 1ère semaine de travail</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1ère semaine : prise de poste, présentation équipe, formation initiale, signature feuilles de présence, accès aux systèmes de travail.</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Droits du travailleur selon pays : congés payés (20–30 jours/an), protection chômage dès le 1er jour, santé et retraite cotisées automatiquement.</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Renouvellement titre de séjour : à demander 2 à 3 mois avant expiration. Après renouvellement, changement d'employeur possible dans la plupart des pays.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Réseau professionnel : rejoindre la diaspora camerounaise locale, les associations africaines, les réseaux sectoriels — essentiel pour l'intégration.</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000000" w:sz="6"/>
              <w:bottom w:val="none" w:color="FFFFFF" w:sz="0"/>
              <w:right w:val="none" w:color="FFFFFF" w:sz="0"/>
            </w:tcBorders>
            <w:shd w:fill="FFF8E1"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ℹ La communauté camerounaise est présente dans tous les pays Schengen — associations, groupes WhatsApp, réseaux d'entraide professionnels actifs.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00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08</w:t>
            </w:r>
          </w:p>
        </w:tc>
        <w:tc>
          <w:tcPr>
            <w:tcW w:type="auto" w:w="9398"/>
            <w:tcBorders>
              <w:top w:val="none" w:color="FFFFFF" w:sz="0"/>
              <w:left w:val="single" w:color="CC0000"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000000"/>
                <w:sz w:val="22"/>
                <w:szCs w:val="22"/>
              </w:rPr>
              <w:t xml:space="preserve">Résidence permanente &amp; citoyenneté européenne</w:t>
            </w:r>
          </w:p>
          <w:p>
            <w:pPr>
              <w:spacing w:after="0" w:before="0"/>
            </w:pPr>
            <w:r>
              <w:rPr>
                <w:rFonts w:ascii="Calibri" w:cs="Calibri" w:eastAsia="Calibri" w:hAnsi="Calibri"/>
                <w:i/>
                <w:iCs/>
                <w:color w:val="4A6080"/>
                <w:sz w:val="16"/>
                <w:szCs w:val="16"/>
              </w:rPr>
              <w:t xml:space="preserve">Parcours long terme — 5 à 10 ans selon le pays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Résidence permanente : après 5 ans de résidence légale continue dans la plupart des pays Schengen. Liberté totale de travail dans tout l'espace EU/Schengen.</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EU Blue Card → mobilité UE : après 18 mois avec une Blue Card, possibilité de demander une Blue Card dans un autre État membre sans reprendre la procédure.</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Citoyenneté européenne : accessible entre 5 et 10 ans selon le pays. Passeport européen = liberté de voyage dans 186+ pays sans visa.</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none" w:color="FFFFFF" w:sz="0"/>
              <w:left w:val="single" w:color="CC0000"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CC0000"/>
                <w:sz w:val="18"/>
                <w:szCs w:val="18"/>
              </w:rPr>
              <w:t xml:space="preserve">▸  </w:t>
            </w:r>
            <w:r>
              <w:rPr>
                <w:rFonts w:ascii="Calibri" w:cs="Calibri" w:eastAsia="Calibri" w:hAnsi="Calibri"/>
                <w:color w:val="131E2D"/>
                <w:sz w:val="18"/>
                <w:szCs w:val="18"/>
              </w:rPr>
              <w:t xml:space="preserve">Regroupement familial : possible dès l'obtention du permis de travail dans la plupart des pays — conjoint, enfants mineurs.</w:t>
            </w:r>
          </w:p>
        </w:tc>
      </w:tr>
      <w:tr>
        <w:tc>
          <w:tcPr>
            <w:tcW w:type="auto" w:w="520"/>
            <w:tcBorders>
              <w:top w:val="none" w:color="FFFFFF" w:sz="0"/>
              <w:left w:val="none" w:color="FFFFFF" w:sz="0"/>
              <w:bottom w:val="none" w:color="FFFFFF" w:sz="0"/>
              <w:right w:val="none" w:color="FFFFFF" w:sz="0"/>
            </w:tcBorders>
            <w:shd w:fill="FFF8E1" w:val="clear"/>
          </w:tcPr>
          <w:p>
            <w:r>
              <w:t xml:space="preserve"/>
            </w:r>
          </w:p>
        </w:tc>
        <w:tc>
          <w:tcPr>
            <w:tcW w:type="auto" w:w="9398"/>
            <w:tcBorders>
              <w:top w:val="single" w:color="CC0000" w:sz="2"/>
              <w:left w:val="single" w:color="1D7A45" w:sz="6"/>
              <w:bottom w:val="none" w:color="FFFFFF" w:sz="0"/>
              <w:right w:val="none" w:color="FFFFFF" w:sz="0"/>
            </w:tcBorders>
            <w:shd w:fill="E5F3EA" w:val="clear"/>
            <w:tcMar>
              <w:top w:type="dxa" w:w="60"/>
              <w:left w:type="dxa" w:w="200"/>
              <w:bottom w:type="dxa" w:w="60"/>
              <w:right w:type="dxa" w:w="140"/>
            </w:tcMar>
          </w:tcPr>
          <w:p>
            <w:pPr>
              <w:spacing w:after="0" w:before="0"/>
            </w:pPr>
            <w:r>
              <w:rPr>
                <w:rFonts w:ascii="Calibri" w:cs="Calibri" w:eastAsia="Calibri" w:hAnsi="Calibri"/>
                <w:color w:val="000000"/>
                <w:sz w:val="17"/>
                <w:szCs w:val="17"/>
              </w:rPr>
              <w:t xml:space="preserve">🌟 Objectif final : résidence permanente puis citoyenneté européenne. Un Camerounais naturalisé européen devient citoyen de 27 pays simultanément.</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1D7A45" w:val="clear"/>
            <w:tcMar>
              <w:top w:type="dxa" w:w="90"/>
              <w:left w:type="dxa" w:w="220"/>
              <w:bottom w:type="dxa" w:w="90"/>
              <w:right w:type="dxa" w:w="180"/>
            </w:tcMar>
          </w:tcPr>
          <w:p>
            <w:r>
              <w:rPr>
                <w:rFonts w:ascii="Calibri" w:cs="Calibri" w:eastAsia="Calibri" w:hAnsi="Calibri"/>
                <w:b/>
                <w:bCs/>
                <w:caps/>
                <w:color w:val="FFFFFF"/>
                <w:sz w:val="20"/>
                <w:szCs w:val="20"/>
              </w:rPr>
              <w:t xml:space="preserve">06  —  Opportunités Spécifiques pour les Camerounais</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Opportunités sélectionnées pour leur adéquation avec les profils camerounais et la pénurie réelle en Allemagne. Le bilinguisme FR/EN et la formation reconnue sont des atouts décisifs.</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300"/>
        <w:gridCol w:w="2200"/>
        <w:gridCol w:w="3200"/>
        <w:gridCol w:w="4218"/>
      </w:tblGrid>
      <w:tr>
        <w:tc>
          <w:tcPr>
            <w:tcW w:type="auto" w:w="300"/>
            <w:tcBorders>
              <w:top w:val="single" w:color="DDBB66" w:sz="1"/>
              <w:left w:val="single" w:color="DDBB66" w:sz="1"/>
              <w:bottom w:val="single" w:color="DDBB66" w:sz="1"/>
              <w:right w:val="single" w:color="DDBB66"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
            </w:r>
          </w:p>
        </w:tc>
        <w:tc>
          <w:tcPr>
            <w:tcW w:type="auto" w:w="2200"/>
            <w:tcBorders>
              <w:top w:val="single" w:color="DDBB66" w:sz="1"/>
              <w:left w:val="single" w:color="DDBB66" w:sz="1"/>
              <w:bottom w:val="single" w:color="DDBB66" w:sz="1"/>
              <w:right w:val="single" w:color="DDBB66"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Opportunité</w:t>
            </w:r>
          </w:p>
        </w:tc>
        <w:tc>
          <w:tcPr>
            <w:tcW w:type="auto" w:w="3200"/>
            <w:tcBorders>
              <w:top w:val="single" w:color="DDBB66" w:sz="1"/>
              <w:left w:val="single" w:color="DDBB66" w:sz="1"/>
              <w:bottom w:val="single" w:color="DDBB66" w:sz="1"/>
              <w:right w:val="single" w:color="DDBB66"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Pourquoi les Camerounais sont avantagés</w:t>
            </w:r>
          </w:p>
        </w:tc>
        <w:tc>
          <w:tcPr>
            <w:tcW w:type="auto" w:w="4218"/>
            <w:tcBorders>
              <w:top w:val="single" w:color="DDBB66" w:sz="1"/>
              <w:left w:val="single" w:color="DDBB66" w:sz="1"/>
              <w:bottom w:val="single" w:color="DDBB66" w:sz="1"/>
              <w:right w:val="single" w:color="DDBB66"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Comment en bénéficier avec 3M Travel</w:t>
            </w:r>
          </w:p>
        </w:tc>
      </w:tr>
      <w:tr>
        <w:tc>
          <w:tcPr>
            <w:tcW w:type="auto" w:w="300"/>
            <w:tcBorders>
              <w:top w:val="single" w:color="DDBB66" w:sz="1"/>
              <w:left w:val="single" w:color="DDBB66" w:sz="1"/>
              <w:bottom w:val="single" w:color="DDBB66" w:sz="1"/>
              <w:right w:val="single" w:color="DDBB66"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Infirmier(ère) — Deutschland.Plus</w:t>
            </w:r>
          </w:p>
        </w:tc>
        <w:tc>
          <w:tcPr>
            <w:tcW w:type="auto" w:w="3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Programme officiel : cours allemand financés + aide vol + recrutement direct. 300 000 postes. Salaire 3 000–4 500 €.</w:t>
            </w:r>
          </w:p>
        </w:tc>
        <w:tc>
          <w:tcPr>
            <w:tcW w:type="auto" w:w="42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Inscription Deutschland.Plus + Goethe B1 Yaoundé + 3M Travel reconnaissance et recrutement hôpital.</w:t>
            </w:r>
          </w:p>
        </w:tc>
      </w:tr>
      <w:tr>
        <w:tc>
          <w:tcPr>
            <w:tcW w:type="auto" w:w="300"/>
            <w:tcBorders>
              <w:top w:val="single" w:color="DDBB66" w:sz="1"/>
              <w:left w:val="single" w:color="DDBB66" w:sz="1"/>
              <w:bottom w:val="single" w:color="DDBB66" w:sz="1"/>
              <w:right w:val="single" w:color="DDBB66"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Chercheur emploi — Chancenkarte</w:t>
            </w:r>
          </w:p>
        </w:tc>
        <w:tc>
          <w:tcPr>
            <w:tcW w:type="auto" w:w="3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Visa révolutionnaire 2024. 1 an en Allemagne pour chercher emploi sur place. Bac+3 + 1 an exp. + B1 allemand.</w:t>
            </w:r>
          </w:p>
        </w:tc>
        <w:tc>
          <w:tcPr>
            <w:tcW w:type="auto" w:w="42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Dossier Chancenkarte + cours Goethe Institut Yaoundé + 3M Travel accompagne toute la procédure.</w:t>
            </w:r>
          </w:p>
        </w:tc>
      </w:tr>
      <w:tr>
        <w:tc>
          <w:tcPr>
            <w:tcW w:type="auto" w:w="300"/>
            <w:tcBorders>
              <w:top w:val="single" w:color="DDBB66" w:sz="1"/>
              <w:left w:val="single" w:color="DDBB66" w:sz="1"/>
              <w:bottom w:val="single" w:color="DDBB66" w:sz="1"/>
              <w:right w:val="single" w:color="DDBB66"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Développeur logiciel anglophone</w:t>
            </w:r>
          </w:p>
        </w:tc>
        <w:tc>
          <w:tcPr>
            <w:tcW w:type="auto" w:w="3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Berlin hub mondial tech. Anglais 100% dans startups. 150 000 postes. EU Blue Card directe. Salaire 4 500–7 000 €.</w:t>
            </w:r>
          </w:p>
        </w:tc>
        <w:tc>
          <w:tcPr>
            <w:tcW w:type="auto" w:w="42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Portfolio GitHub + IELTS + 3M Travel partenaires startups et scale-ups Berlin/Munich.</w:t>
            </w:r>
          </w:p>
        </w:tc>
      </w:tr>
      <w:tr>
        <w:tc>
          <w:tcPr>
            <w:tcW w:type="auto" w:w="300"/>
            <w:tcBorders>
              <w:top w:val="single" w:color="DDBB66" w:sz="1"/>
              <w:left w:val="single" w:color="DDBB66" w:sz="1"/>
              <w:bottom w:val="single" w:color="DDBB66" w:sz="1"/>
              <w:right w:val="single" w:color="DDBB66"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Ingénieur mécanicien / automobile</w:t>
            </w:r>
          </w:p>
        </w:tc>
        <w:tc>
          <w:tcPr>
            <w:tcW w:type="auto" w:w="3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BMW, Audi, Bosch, Siemens recrutent monde entier. ENSP camerounais reconnu Anabin. Salaire 4 000–6 000 €.</w:t>
            </w:r>
          </w:p>
        </w:tc>
        <w:tc>
          <w:tcPr>
            <w:tcW w:type="auto" w:w="42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Reconnaissance Anabin + diplôme ENSP/ENSAI + 3M Travel partenaires industriels allemands.</w:t>
            </w:r>
          </w:p>
        </w:tc>
      </w:tr>
      <w:tr>
        <w:tc>
          <w:tcPr>
            <w:tcW w:type="auto" w:w="300"/>
            <w:tcBorders>
              <w:top w:val="single" w:color="DDBB66" w:sz="1"/>
              <w:left w:val="single" w:color="DDBB66" w:sz="1"/>
              <w:bottom w:val="single" w:color="DDBB66" w:sz="1"/>
              <w:right w:val="single" w:color="DDBB66"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Chauffeur SPL / Conducteur routier</w:t>
            </w:r>
          </w:p>
        </w:tc>
        <w:tc>
          <w:tcPr>
            <w:tcW w:type="auto" w:w="3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400 000 postes manquent en EU. Permis CE camerounais reconnu. Formation CPC 35h. Salaire 2 500–3 500 €.</w:t>
            </w:r>
          </w:p>
        </w:tc>
        <w:tc>
          <w:tcPr>
            <w:tcW w:type="auto" w:w="42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Permis CE + formation CPC + 3M Travel partenaires transporteurs Deutschland.</w:t>
            </w:r>
          </w:p>
        </w:tc>
      </w:tr>
      <w:tr>
        <w:tc>
          <w:tcPr>
            <w:tcW w:type="auto" w:w="300"/>
            <w:tcBorders>
              <w:top w:val="single" w:color="DDBB66" w:sz="1"/>
              <w:left w:val="single" w:color="DDBB66" w:sz="1"/>
              <w:bottom w:val="single" w:color="DDBB66" w:sz="1"/>
              <w:right w:val="single" w:color="DDBB66"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Doctorant / Post-doctorant</w:t>
            </w:r>
          </w:p>
        </w:tc>
        <w:tc>
          <w:tcPr>
            <w:tcW w:type="auto" w:w="3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Universités financent directement. Anglais 100% en recherche. Salaire 2 800–4 500 €/mois sans quota.</w:t>
            </w:r>
          </w:p>
        </w:tc>
        <w:tc>
          <w:tcPr>
            <w:tcW w:type="auto" w:w="42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Convention accueil université + visa chercheur + 3M Travel coordination directeur superviseur.</w:t>
            </w:r>
          </w:p>
        </w:tc>
      </w:tr>
      <w:tr>
        <w:tc>
          <w:tcPr>
            <w:tcW w:type="auto" w:w="300"/>
            <w:tcBorders>
              <w:top w:val="single" w:color="DDBB66" w:sz="1"/>
              <w:left w:val="single" w:color="DDBB66" w:sz="1"/>
              <w:bottom w:val="single" w:color="DDBB66" w:sz="1"/>
              <w:right w:val="single" w:color="DDBB66"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Travailleur agricole / Saisonnier</w:t>
            </w:r>
          </w:p>
        </w:tc>
        <w:tc>
          <w:tcPr>
            <w:tcW w:type="auto" w:w="32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Bavière, Bade-Wurtemberg : framboises, asperges, viticulture. 80 000 saisonniers/an. Contrats 3–6 mois.</w:t>
            </w:r>
          </w:p>
        </w:tc>
        <w:tc>
          <w:tcPr>
            <w:tcW w:type="auto" w:w="42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Contrat saisonnier + visa D saisonnier + 3M Travel coordonne recrutement agricole.</w:t>
            </w:r>
          </w:p>
        </w:tc>
      </w:tr>
      <w:tr>
        <w:tc>
          <w:tcPr>
            <w:tcW w:type="auto" w:w="300"/>
            <w:tcBorders>
              <w:top w:val="single" w:color="DDBB66" w:sz="1"/>
              <w:left w:val="single" w:color="DDBB66" w:sz="1"/>
              <w:bottom w:val="single" w:color="DDBB66" w:sz="1"/>
              <w:right w:val="single" w:color="DDBB66"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Technicien électronique / Électricien</w:t>
            </w:r>
          </w:p>
        </w:tc>
        <w:tc>
          <w:tcPr>
            <w:tcW w:type="auto" w:w="32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CAP électricité reconnu partiellement. Ausbildung possible après arrivée. Anerkennungspartnerschaft. Salaire 2 800–4 000 €.</w:t>
            </w:r>
          </w:p>
        </w:tc>
        <w:tc>
          <w:tcPr>
            <w:tcW w:type="auto" w:w="42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Reconnaissance partielle + Anerkennungspartnerschaft + 3M Travel partenaire entreprise.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8A400" w:val="clear"/>
            <w:vAlign w:val="center"/>
          </w:tcPr>
          <w:p>
            <w:pPr>
              <w:jc w:val="center"/>
            </w:pPr>
            <w:r>
              <w:rPr>
                <w:rFonts w:ascii="Calibri" w:cs="Calibri" w:eastAsia="Calibri" w:hAnsi="Calibri"/>
                <w:sz w:val="22"/>
                <w:szCs w:val="22"/>
              </w:rPr>
              <w:t xml:space="preserve">🏆</w:t>
            </w:r>
          </w:p>
        </w:tc>
        <w:tc>
          <w:tcPr>
            <w:tcW w:type="auto" w:w="9698"/>
            <w:tcBorders>
              <w:top w:val="single" w:color="DDBB66" w:sz="1"/>
              <w:left w:val="single" w:color="DDBB66" w:sz="1"/>
              <w:bottom w:val="single" w:color="DDBB66" w:sz="1"/>
              <w:right w:val="single" w:color="DDBB66" w:sz="1"/>
            </w:tcBorders>
            <w:shd w:fill="FFFBE6" w:val="clear"/>
            <w:tcMar>
              <w:top w:type="dxa" w:w="70"/>
              <w:left w:type="dxa" w:w="160"/>
              <w:bottom w:type="dxa" w:w="70"/>
              <w:right w:type="dxa" w:w="140"/>
            </w:tcMar>
          </w:tcPr>
          <w:p>
            <w:pPr>
              <w:jc w:val="both"/>
            </w:pPr>
            <w:r>
              <w:rPr>
                <w:rFonts w:ascii="Calibri" w:cs="Calibri" w:eastAsia="Calibri" w:hAnsi="Calibri"/>
                <w:color w:val="131E2D"/>
                <w:sz w:val="17"/>
                <w:szCs w:val="17"/>
              </w:rPr>
              <w:t xml:space="preserve">OPPORTUNITÉ RÉVOLUTIONNAIRE 2024 : 🎯 La Chancenkarte (Carte des Chances). Arrivez en Allemagne pendant 1 an pour chercher votre emploi directement sur place, sans offre préalable. Conditions : Bac+3 + 1 an d'expérience + B1 allemand. La procédure la plus simple jamais créée par un pays Schengen pour les travailleurs qualifiés non-UE.</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07  —  Budget Détaillé — À partir de 2 600 000 FCFA (Hors Vol)</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Le budget varie selon votre profil. Il peut augmenter (reconnaissance diplôme, test langue) ou baisser (diplôme déjà légalisé, pas de visite médicale). Transparence totale garantie.</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700"/>
        <w:gridCol w:w="1900"/>
        <w:gridCol w:w="1600"/>
        <w:gridCol w:w="3718"/>
      </w:tblGrid>
      <w:tr>
        <w:tc>
          <w:tcPr>
            <w:tcW w:type="auto" w:w="27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Poste de dépense</w:t>
            </w:r>
          </w:p>
        </w:tc>
        <w:tc>
          <w:tcPr>
            <w:tcW w:type="auto" w:w="19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Montant estimé</w:t>
            </w:r>
          </w:p>
        </w:tc>
        <w:tc>
          <w:tcPr>
            <w:tcW w:type="auto" w:w="1600"/>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Obligatoire</w:t>
            </w:r>
          </w:p>
        </w:tc>
        <w:tc>
          <w:tcPr>
            <w:tcW w:type="auto" w:w="3718"/>
            <w:tcBorders>
              <w:top w:val="single" w:color="DDBB66" w:sz="1"/>
              <w:left w:val="single" w:color="DDBB66" w:sz="1"/>
              <w:bottom w:val="single" w:color="DDBB66" w:sz="1"/>
              <w:right w:val="single" w:color="DDBB66" w:sz="1"/>
            </w:tcBorders>
            <w:shd w:fill="000000" w:val="clear"/>
            <w:tcMar>
              <w:top w:type="dxa" w:w="75"/>
              <w:left w:type="dxa" w:w="85"/>
              <w:bottom w:type="dxa" w:w="75"/>
              <w:right w:type="dxa" w:w="85"/>
            </w:tcMar>
          </w:tcPr>
          <w:p>
            <w:r>
              <w:rPr>
                <w:rFonts w:ascii="Calibri" w:cs="Calibri" w:eastAsia="Calibri" w:hAnsi="Calibri"/>
                <w:b/>
                <w:bCs/>
                <w:color w:val="FFFFFF"/>
                <w:sz w:val="16"/>
                <w:szCs w:val="16"/>
              </w:rPr>
              <w:t xml:space="preserve">Détail</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Ouverture dossier (non remboursable)</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65 000 FCFA</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Dû à la signature. Création profil, analyse docs, attribution conseiller dédié.</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Analyse profil &amp; orientation</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Étude CV/diplômes/expériences. Rapport écrit sous 48h. Identification secteur + région optimale.</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Constitution dossier complet</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CV Europass bilingue, lettre motivation, mise en conformité, checklist sectorielle.</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Recherche employeur + validation contrat</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Réseau partenaires vérifiés. Validation contrat selon conventions collectives.</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Suivi procédure &amp; coordination</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Coordination autorités pays cible. Réponse demandes complémentaires. Brief pré-départ.</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Frais consulaires (visa D travail)</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 75 € / 49 000 F</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Frais officiels ambassade. Non remboursables en cas de refus. Payables sur place.</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AVI — Assurance Voyage Internationale</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50 000 – 80 000 F</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Couverture ≥ 30 000 € obligatoire. Valable jusqu'à affiliation sécurité sociale locale.</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Traduction assermentée diplômes</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40 000 – 100 000 F</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15 000–30 000 F par diplôme. 1 à 3 documents. Traducteur assermenté certifié.</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Apostille / légalisation documents</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20 000 – 50 000 F</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Sur diplômes + casier. Ministère Justice Cameroun. Délai 1–3 semaines.</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Visite médicale agréée (si requise)</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100 000 – 180 000 F</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Selon</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Selon pays et secteur. Médecin agréé ambassade. Résultats valables 3 mois.</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Reconnaissance diplôme ENIC-NARIC</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0 – 80 000 F</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Selon</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Métiers réglementés uniquement. Initié dès phase 1. Délai 8–16 semaines.</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Test de langue</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80 000 – 150 000 F</w:t>
            </w:r>
          </w:p>
        </w:tc>
        <w:tc>
          <w:tcPr>
            <w:tcW w:type="auto" w:w="16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Selon</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Goethe-Zertifikat B1/B2 (40 000–120 000 F) — ou IELTS 6.0 pour postes anglophones</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1er loyer + caution logement</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200 000–700 000 F</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Variable selon ville. Logement employeur si disponible = économie maximale.</w:t>
            </w:r>
          </w:p>
        </w:tc>
      </w:tr>
      <w:tr>
        <w:tc>
          <w:tcPr>
            <w:tcW w:type="auto" w:w="27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Frais de vie 1er mois (avant salaire)</w:t>
            </w:r>
          </w:p>
        </w:tc>
        <w:tc>
          <w:tcPr>
            <w:tcW w:type="auto" w:w="1900"/>
            <w:tcBorders>
              <w:top w:val="single" w:color="DDBB66" w:sz="1"/>
              <w:left w:val="single" w:color="DDBB66" w:sz="1"/>
              <w:bottom w:val="single" w:color="DDBB66" w:sz="1"/>
              <w:right w:val="single" w:color="DDBB66"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200 000–400 000 F</w:t>
            </w:r>
          </w:p>
        </w:tc>
        <w:tc>
          <w:tcPr>
            <w:tcW w:type="auto" w:w="1600"/>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Alimentation, transport local, SIM, produits de 1ère nécessité.</w:t>
            </w:r>
          </w:p>
        </w:tc>
      </w:tr>
      <w:tr>
        <w:tc>
          <w:tcPr>
            <w:tcW w:type="auto" w:w="27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bCs/>
                <w:i w:val="false"/>
                <w:iCs w:val="false"/>
                <w:color w:val="000000"/>
                <w:sz w:val="15"/>
                <w:szCs w:val="15"/>
              </w:rPr>
              <w:t xml:space="preserve">✈ Billet d'avion (NON INCLUS)</w:t>
            </w:r>
          </w:p>
        </w:tc>
        <w:tc>
          <w:tcPr>
            <w:tcW w:type="auto" w:w="1900"/>
            <w:tcBorders>
              <w:top w:val="single" w:color="DDBB66" w:sz="1"/>
              <w:left w:val="single" w:color="DDBB66" w:sz="1"/>
              <w:bottom w:val="single" w:color="DDBB66" w:sz="1"/>
              <w:right w:val="single" w:color="DDBB66"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E67E22"/>
                <w:sz w:val="14"/>
                <w:szCs w:val="14"/>
              </w:rPr>
              <w:t xml:space="preserve">À votre charge</w:t>
            </w:r>
          </w:p>
        </w:tc>
        <w:tc>
          <w:tcPr>
            <w:tcW w:type="auto" w:w="1600"/>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w:t>
            </w:r>
          </w:p>
        </w:tc>
        <w:tc>
          <w:tcPr>
            <w:tcW w:type="auto" w:w="3718"/>
            <w:tcBorders>
              <w:top w:val="single" w:color="DDBB66" w:sz="1"/>
              <w:left w:val="single" w:color="DDBB66" w:sz="1"/>
              <w:bottom w:val="single" w:color="DDBB66" w:sz="1"/>
              <w:right w:val="single" w:color="DDBB66" w:sz="1"/>
            </w:tcBorders>
            <w:shd w:fill="FFF8E1"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NON compris dans le budget. Estimatif : 300 000–550 000 F. À acheter APRÈS visa.</w:t>
            </w:r>
          </w:p>
        </w:tc>
      </w:tr>
      <w:tr>
        <w:tc>
          <w:tcPr>
            <w:tcW w:type="auto" w:w="2700"/>
            <w:tcBorders>
              <w:top w:val="single" w:color="DDBB66" w:sz="1"/>
              <w:left w:val="single" w:color="DDBB66" w:sz="1"/>
              <w:bottom w:val="single" w:color="DDBB66" w:sz="1"/>
              <w:right w:val="single" w:color="DDBB66" w:sz="1"/>
            </w:tcBorders>
            <w:shd w:fill="000000" w:val="clear"/>
            <w:tcMar>
              <w:top w:type="dxa" w:w="95"/>
              <w:left w:type="dxa" w:w="85"/>
              <w:bottom w:type="dxa" w:w="95"/>
              <w:right w:type="dxa" w:w="85"/>
            </w:tcMar>
          </w:tcPr>
          <w:p>
            <w:r>
              <w:rPr>
                <w:rFonts w:ascii="Calibri" w:cs="Calibri" w:eastAsia="Calibri" w:hAnsi="Calibri"/>
                <w:b/>
                <w:bCs/>
                <w:color w:val="FFFFFF"/>
                <w:sz w:val="18"/>
                <w:szCs w:val="18"/>
              </w:rPr>
              <w:t xml:space="preserve">💰  BUDGET DE BASE — HORS BILLET D'AVION</w:t>
            </w:r>
          </w:p>
        </w:tc>
        <w:tc>
          <w:tcPr>
            <w:tcW w:type="auto" w:w="1900"/>
            <w:tcBorders>
              <w:top w:val="single" w:color="DDBB66" w:sz="1"/>
              <w:left w:val="single" w:color="DDBB66" w:sz="1"/>
              <w:bottom w:val="single" w:color="DDBB66" w:sz="1"/>
              <w:right w:val="single" w:color="DDBB66" w:sz="1"/>
            </w:tcBorders>
            <w:shd w:fill="C8A400" w:val="clear"/>
            <w:tcMar>
              <w:top w:type="dxa" w:w="95"/>
              <w:left w:type="dxa" w:w="85"/>
              <w:bottom w:type="dxa" w:w="95"/>
              <w:right w:type="dxa" w:w="85"/>
            </w:tcMar>
          </w:tcPr>
          <w:p>
            <w:pPr>
              <w:jc w:val="center"/>
            </w:pPr>
            <w:r>
              <w:rPr>
                <w:rFonts w:ascii="Calibri" w:cs="Calibri" w:eastAsia="Calibri" w:hAnsi="Calibri"/>
                <w:b/>
                <w:bCs/>
                <w:color w:val="000000"/>
                <w:sz w:val="20"/>
                <w:szCs w:val="20"/>
              </w:rPr>
              <w:t xml:space="preserve">2 600 000 FCFA</w:t>
            </w:r>
          </w:p>
        </w:tc>
        <w:tc>
          <w:tcPr>
            <w:tcW w:type="auto" w:w="5318"/>
            <w:gridSpan w:val="2"/>
            <w:tcBorders>
              <w:top w:val="single" w:color="DDBB66" w:sz="1"/>
              <w:left w:val="single" w:color="DDBB66" w:sz="1"/>
              <w:bottom w:val="single" w:color="DDBB66" w:sz="1"/>
              <w:right w:val="single" w:color="DDBB66" w:sz="1"/>
            </w:tcBorders>
            <w:shd w:fill="000000" w:val="clear"/>
            <w:tcMar>
              <w:top w:type="dxa" w:w="95"/>
              <w:left w:type="dxa" w:w="110"/>
              <w:bottom w:type="dxa" w:w="95"/>
              <w:right w:type="dxa" w:w="110"/>
            </w:tcMar>
          </w:tcPr>
          <w:p>
            <w:r>
              <w:rPr>
                <w:rFonts w:ascii="Calibri" w:cs="Calibri" w:eastAsia="Calibri" w:hAnsi="Calibri"/>
                <w:color w:val="BBDDBB"/>
                <w:sz w:val="15"/>
                <w:szCs w:val="15"/>
              </w:rPr>
              <w:t xml:space="preserve">Variable selon profil. HORS billet d'avion. Test Goethe peut augmenter de 80 000–120 000 F.</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000000" w:val="clear"/>
            <w:vAlign w:val="center"/>
          </w:tcPr>
          <w:p>
            <w:pPr>
              <w:jc w:val="center"/>
            </w:pPr>
            <w:r>
              <w:rPr>
                <w:rFonts w:ascii="Calibri" w:cs="Calibri" w:eastAsia="Calibri" w:hAnsi="Calibri"/>
                <w:sz w:val="22"/>
                <w:szCs w:val="22"/>
              </w:rPr>
              <w:t xml:space="preserve">ℹ</w:t>
            </w:r>
          </w:p>
        </w:tc>
        <w:tc>
          <w:tcPr>
            <w:tcW w:type="auto" w:w="9698"/>
            <w:tcBorders>
              <w:top w:val="single" w:color="DDBB66" w:sz="1"/>
              <w:left w:val="single" w:color="DDBB66" w:sz="1"/>
              <w:bottom w:val="single" w:color="DDBB66" w:sz="1"/>
              <w:right w:val="single" w:color="DDBB66" w:sz="1"/>
            </w:tcBorders>
            <w:shd w:fill="FFF8E1" w:val="clear"/>
            <w:tcMar>
              <w:top w:type="dxa" w:w="70"/>
              <w:left w:type="dxa" w:w="160"/>
              <w:bottom w:type="dxa" w:w="70"/>
              <w:right w:type="dxa" w:w="140"/>
            </w:tcMar>
          </w:tcPr>
          <w:p>
            <w:pPr>
              <w:jc w:val="both"/>
            </w:pPr>
            <w:r>
              <w:rPr>
                <w:rFonts w:ascii="Calibri" w:cs="Calibri" w:eastAsia="Calibri" w:hAnsi="Calibri"/>
                <w:color w:val="131E2D"/>
                <w:sz w:val="17"/>
                <w:szCs w:val="17"/>
              </w:rPr>
              <w:t xml:space="preserve">Budget variable selon profil : ✅ Diplôme déjà traduit → économie 60 000–150 000 F. ✅ Pas de visite médicale → économie 100 000–180 000 F. ⚠ ENIC-NARIC requis → +80 000 F. ⚠ Test de langue → +80 000–150 000 F. Billet d'avion (300 000–550 000 F) À VOTRE CHARGE — à acheter APRÈS obtention du visa.</w:t>
            </w:r>
          </w:p>
        </w:tc>
      </w:tr>
    </w:tbl>
    <w:p>
      <w:pPr>
        <w:spacing w:after="0" w:before="10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000000" w:val="clear"/>
            <w:tcMar>
              <w:top w:type="dxa" w:w="90"/>
              <w:left w:type="dxa" w:w="220"/>
              <w:bottom w:type="dxa" w:w="90"/>
              <w:right w:type="dxa" w:w="180"/>
            </w:tcMar>
          </w:tcPr>
          <w:p>
            <w:r>
              <w:rPr>
                <w:rFonts w:ascii="Calibri" w:cs="Calibri" w:eastAsia="Calibri" w:hAnsi="Calibri"/>
                <w:b/>
                <w:bCs/>
                <w:caps/>
                <w:color w:val="FFFFFF"/>
                <w:sz w:val="20"/>
                <w:szCs w:val="20"/>
              </w:rPr>
              <w:t xml:space="preserve">08  —  Modalités de Paiement — 3 Options Flexibles</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3306"/>
        <w:gridCol w:w="3306"/>
        <w:gridCol w:w="3306"/>
      </w:tblGrid>
      <w:tr>
        <w:tc>
          <w:tcPr>
            <w:tcW w:type="auto" w:w="3306"/>
            <w:tcBorders>
              <w:top w:val="none" w:color="FFFFFF" w:sz="0"/>
              <w:left w:val="none" w:color="FFFFFF" w:sz="0"/>
              <w:bottom w:val="none" w:color="FFFFFF" w:sz="0"/>
              <w:right w:val="none" w:color="FFFFFF" w:sz="0"/>
            </w:tcBorders>
            <w:shd w:fill="000000" w:val="clear"/>
            <w:tcMar>
              <w:top w:type="dxa" w:w="100"/>
              <w:left w:type="dxa" w:w="140"/>
              <w:bottom w:type="dxa" w:w="6"/>
              <w:right w:type="dxa" w:w="140"/>
            </w:tcMar>
          </w:tcPr>
          <w:p>
            <w:pPr>
              <w:jc w:val="center"/>
            </w:pPr>
            <w:r>
              <w:rPr>
                <w:rFonts w:ascii="Calibri" w:cs="Calibri" w:eastAsia="Calibri" w:hAnsi="Calibri"/>
                <w:b/>
                <w:bCs/>
                <w:color w:val="FFFFFF"/>
                <w:sz w:val="19"/>
                <w:szCs w:val="19"/>
              </w:rPr>
              <w:t xml:space="preserve">💳  PAIEMENT COMPLET</w:t>
            </w:r>
          </w:p>
        </w:tc>
        <w:tc>
          <w:tcPr>
            <w:tcW w:type="auto" w:w="3306"/>
            <w:tcBorders>
              <w:top w:val="none" w:color="FFFFFF" w:sz="0"/>
              <w:left w:val="single" w:color="FFFFFF" w:sz="3"/>
              <w:bottom w:val="none" w:color="FFFFFF" w:sz="0"/>
              <w:right w:val="single" w:color="FFFFFF" w:sz="3"/>
            </w:tcBorders>
            <w:shd w:fill="CC0000" w:val="clear"/>
            <w:tcMar>
              <w:top w:type="dxa" w:w="100"/>
              <w:left w:type="dxa" w:w="140"/>
              <w:bottom w:type="dxa" w:w="6"/>
              <w:right w:type="dxa" w:w="140"/>
            </w:tcMar>
          </w:tcPr>
          <w:p>
            <w:pPr>
              <w:jc w:val="center"/>
            </w:pPr>
            <w:r>
              <w:rPr>
                <w:rFonts w:ascii="Calibri" w:cs="Calibri" w:eastAsia="Calibri" w:hAnsi="Calibri"/>
                <w:b/>
                <w:bCs/>
                <w:color w:val="FFFFFF"/>
                <w:sz w:val="19"/>
                <w:szCs w:val="19"/>
              </w:rPr>
              <w:t xml:space="preserve">📅  PAR TRANCHES</w:t>
            </w:r>
          </w:p>
        </w:tc>
        <w:tc>
          <w:tcPr>
            <w:tcW w:type="auto" w:w="3306"/>
            <w:tcBorders>
              <w:top w:val="none" w:color="FFFFFF" w:sz="0"/>
              <w:left w:val="none" w:color="FFFFFF" w:sz="0"/>
              <w:bottom w:val="none" w:color="FFFFFF" w:sz="0"/>
              <w:right w:val="none" w:color="FFFFFF" w:sz="0"/>
            </w:tcBorders>
            <w:shd w:fill="1D7A45" w:val="clear"/>
            <w:tcMar>
              <w:top w:type="dxa" w:w="100"/>
              <w:left w:type="dxa" w:w="140"/>
              <w:bottom w:type="dxa" w:w="6"/>
              <w:right w:type="dxa" w:w="140"/>
            </w:tcMar>
          </w:tcPr>
          <w:p>
            <w:pPr>
              <w:jc w:val="center"/>
            </w:pPr>
            <w:r>
              <w:rPr>
                <w:rFonts w:ascii="Calibri" w:cs="Calibri" w:eastAsia="Calibri" w:hAnsi="Calibri"/>
                <w:b/>
                <w:bCs/>
                <w:color w:val="FFFFFF"/>
                <w:sz w:val="19"/>
                <w:szCs w:val="19"/>
              </w:rPr>
              <w:t xml:space="preserve">🔒  PERMIS GARANTI</w:t>
            </w:r>
          </w:p>
        </w:tc>
      </w:tr>
      <w:tr>
        <w:tc>
          <w:tcPr>
            <w:tcW w:type="auto" w:w="3306"/>
            <w:tcBorders>
              <w:top w:val="none" w:color="FFFFFF" w:sz="0"/>
              <w:left w:val="none" w:color="FFFFFF" w:sz="0"/>
              <w:bottom w:val="none" w:color="FFFFFF" w:sz="0"/>
              <w:right w:val="none" w:color="FFFFFF" w:sz="0"/>
            </w:tcBorders>
            <w:shd w:fill="000000" w:val="clear"/>
            <w:tcMar>
              <w:top w:type="dxa" w:w="0"/>
              <w:left w:type="dxa" w:w="140"/>
              <w:bottom w:type="dxa" w:w="10"/>
              <w:right w:type="dxa" w:w="140"/>
            </w:tcMar>
          </w:tcPr>
          <w:p>
            <w:pPr>
              <w:jc w:val="center"/>
            </w:pPr>
            <w:r>
              <w:rPr>
                <w:rFonts w:ascii="Calibri" w:cs="Calibri" w:eastAsia="Calibri" w:hAnsi="Calibri"/>
                <w:color w:val="DDDDDD"/>
                <w:sz w:val="17"/>
                <w:szCs w:val="17"/>
              </w:rPr>
              <w:t xml:space="preserve">0% de majoration</w:t>
            </w:r>
          </w:p>
          <w:p>
            <w:pPr>
              <w:jc w:val="center"/>
            </w:pPr>
            <w:r>
              <w:rPr>
                <w:rFonts w:ascii="Calibri" w:cs="Calibri" w:eastAsia="Calibri" w:hAnsi="Calibri"/>
                <w:b/>
                <w:bCs/>
                <w:color w:val="FFFFFF"/>
                <w:sz w:val="32"/>
                <w:szCs w:val="32"/>
              </w:rPr>
              <w:t xml:space="preserve">2 600 000 F</w:t>
            </w:r>
          </w:p>
        </w:tc>
        <w:tc>
          <w:tcPr>
            <w:tcW w:type="auto" w:w="3306"/>
            <w:tcBorders>
              <w:top w:val="none" w:color="FFFFFF" w:sz="0"/>
              <w:left w:val="single" w:color="FFFFFF" w:sz="3"/>
              <w:bottom w:val="none" w:color="FFFFFF" w:sz="0"/>
              <w:right w:val="single" w:color="FFFFFF" w:sz="3"/>
            </w:tcBorders>
            <w:shd w:fill="CC0000" w:val="clear"/>
            <w:tcMar>
              <w:top w:type="dxa" w:w="0"/>
              <w:left w:type="dxa" w:w="140"/>
              <w:bottom w:type="dxa" w:w="10"/>
              <w:right w:type="dxa" w:w="140"/>
            </w:tcMar>
          </w:tcPr>
          <w:p>
            <w:pPr>
              <w:jc w:val="center"/>
            </w:pPr>
            <w:r>
              <w:rPr>
                <w:rFonts w:ascii="Calibri" w:cs="Calibri" w:eastAsia="Calibri" w:hAnsi="Calibri"/>
                <w:color w:val="DDDDDD"/>
                <w:sz w:val="17"/>
                <w:szCs w:val="17"/>
              </w:rPr>
              <w:t xml:space="preserve">+ 15% de majoration</w:t>
            </w:r>
          </w:p>
          <w:p>
            <w:pPr>
              <w:jc w:val="center"/>
            </w:pPr>
            <w:r>
              <w:rPr>
                <w:rFonts w:ascii="Calibri" w:cs="Calibri" w:eastAsia="Calibri" w:hAnsi="Calibri"/>
                <w:b/>
                <w:bCs/>
                <w:color w:val="FFFFFF"/>
                <w:sz w:val="32"/>
                <w:szCs w:val="32"/>
              </w:rPr>
              <w:t xml:space="preserve">2 990 000 F</w:t>
            </w:r>
          </w:p>
        </w:tc>
        <w:tc>
          <w:tcPr>
            <w:tcW w:type="auto" w:w="3306"/>
            <w:tcBorders>
              <w:top w:val="none" w:color="FFFFFF" w:sz="0"/>
              <w:left w:val="none" w:color="FFFFFF" w:sz="0"/>
              <w:bottom w:val="none" w:color="FFFFFF" w:sz="0"/>
              <w:right w:val="none" w:color="FFFFFF" w:sz="0"/>
            </w:tcBorders>
            <w:shd w:fill="1D7A45" w:val="clear"/>
            <w:tcMar>
              <w:top w:type="dxa" w:w="0"/>
              <w:left w:type="dxa" w:w="140"/>
              <w:bottom w:type="dxa" w:w="10"/>
              <w:right w:type="dxa" w:w="140"/>
            </w:tcMar>
          </w:tcPr>
          <w:p>
            <w:pPr>
              <w:jc w:val="center"/>
            </w:pPr>
            <w:r>
              <w:rPr>
                <w:rFonts w:ascii="Calibri" w:cs="Calibri" w:eastAsia="Calibri" w:hAnsi="Calibri"/>
                <w:color w:val="DDDDDD"/>
                <w:sz w:val="17"/>
                <w:szCs w:val="17"/>
              </w:rPr>
              <w:t xml:space="preserve">+ 25% de majoration</w:t>
            </w:r>
          </w:p>
          <w:p>
            <w:pPr>
              <w:jc w:val="center"/>
            </w:pPr>
            <w:r>
              <w:rPr>
                <w:rFonts w:ascii="Calibri" w:cs="Calibri" w:eastAsia="Calibri" w:hAnsi="Calibri"/>
                <w:b/>
                <w:bCs/>
                <w:color w:val="FFFFFF"/>
                <w:sz w:val="32"/>
                <w:szCs w:val="32"/>
              </w:rPr>
              <w:t xml:space="preserve">3 250 000 F</w:t>
            </w:r>
          </w:p>
        </w:tc>
      </w:tr>
      <w:tr>
        <w:tc>
          <w:tcPr>
            <w:tcW w:type="auto" w:w="3306"/>
            <w:tcBorders>
              <w:top w:val="single" w:color="FFCC00" w:sz="3"/>
              <w:left w:val="none" w:color="FFFFFF" w:sz="0"/>
              <w:bottom w:val="none" w:color="FFFFFF" w:sz="0"/>
              <w:right w:val="none" w:color="FFFFFF" w:sz="0"/>
            </w:tcBorders>
            <w:shd w:fill="FFF8E1" w:val="clear"/>
            <w:tcMar>
              <w:top w:type="dxa" w:w="90"/>
              <w:left w:type="dxa" w:w="140"/>
              <w:bottom w:type="dxa" w:w="90"/>
              <w:right w:type="dxa" w:w="120"/>
            </w:tcMar>
          </w:tcPr>
          <w:p>
            <w:pPr>
              <w:spacing w:after="40" w:before="0"/>
            </w:pPr>
            <w:r>
              <w:rPr>
                <w:rFonts w:ascii="Calibri" w:cs="Calibri" w:eastAsia="Calibri" w:hAnsi="Calibri"/>
                <w:b/>
                <w:bCs/>
                <w:color w:val="000000"/>
                <w:sz w:val="17"/>
                <w:szCs w:val="17"/>
              </w:rPr>
              <w:t xml:space="preserve">✔  Meilleur tarif — Traitement prioritaire</w:t>
            </w:r>
          </w:p>
          <w:p>
            <w:pPr>
              <w:spacing w:after="0" w:before="0"/>
            </w:pPr>
            <w:r>
              <w:rPr>
                <w:rFonts w:ascii="Calibri" w:cs="Calibri" w:eastAsia="Calibri" w:hAnsi="Calibri"/>
                <w:color w:val="000000"/>
                <w:sz w:val="17"/>
                <w:szCs w:val="17"/>
              </w:rPr>
              <w:t xml:space="preserve">✔  Paiement intégral à la signature</w:t>
            </w:r>
          </w:p>
        </w:tc>
        <w:tc>
          <w:tcPr>
            <w:tcW w:type="auto" w:w="3306"/>
            <w:tcBorders>
              <w:top w:val="single" w:color="FFCC00" w:sz="3"/>
              <w:left w:val="single" w:color="FFFFFF" w:sz="3"/>
              <w:bottom w:val="none" w:color="FFFFFF" w:sz="0"/>
              <w:right w:val="single" w:color="FFFFFF" w:sz="3"/>
            </w:tcBorders>
            <w:shd w:fill="F4F7FC" w:val="clear"/>
            <w:tcMar>
              <w:top w:type="dxa" w:w="90"/>
              <w:left w:type="dxa" w:w="140"/>
              <w:bottom w:type="dxa" w:w="90"/>
              <w:right w:type="dxa" w:w="120"/>
            </w:tcMar>
          </w:tcPr>
          <w:p>
            <w:pPr>
              <w:spacing w:after="40" w:before="0"/>
            </w:pPr>
            <w:r>
              <w:rPr>
                <w:rFonts w:ascii="Calibri" w:cs="Calibri" w:eastAsia="Calibri" w:hAnsi="Calibri"/>
                <w:b/>
                <w:bCs/>
                <w:color w:val="000000"/>
                <w:sz w:val="17"/>
                <w:szCs w:val="17"/>
              </w:rPr>
              <w:t xml:space="preserve">✔  Flexibilité — Échéancier contractuel</w:t>
            </w:r>
          </w:p>
          <w:p>
            <w:pPr>
              <w:spacing w:after="0" w:before="0"/>
            </w:pPr>
            <w:r>
              <w:rPr>
                <w:rFonts w:ascii="Calibri" w:cs="Calibri" w:eastAsia="Calibri" w:hAnsi="Calibri"/>
                <w:color w:val="000000"/>
                <w:sz w:val="17"/>
                <w:szCs w:val="17"/>
              </w:rPr>
              <w:t xml:space="preserve">✔  65 000 F exigibles à la signature</w:t>
            </w:r>
          </w:p>
        </w:tc>
        <w:tc>
          <w:tcPr>
            <w:tcW w:type="auto" w:w="3306"/>
            <w:tcBorders>
              <w:top w:val="single" w:color="FFCC00" w:sz="3"/>
              <w:left w:val="none" w:color="FFFFFF" w:sz="0"/>
              <w:bottom w:val="none" w:color="FFFFFF" w:sz="0"/>
              <w:right w:val="none" w:color="FFFFFF" w:sz="0"/>
            </w:tcBorders>
            <w:shd w:fill="E5F3EA" w:val="clear"/>
            <w:tcMar>
              <w:top w:type="dxa" w:w="90"/>
              <w:left w:type="dxa" w:w="140"/>
              <w:bottom w:type="dxa" w:w="90"/>
              <w:right w:type="dxa" w:w="120"/>
            </w:tcMar>
          </w:tcPr>
          <w:p>
            <w:pPr>
              <w:spacing w:after="40" w:before="0"/>
            </w:pPr>
            <w:r>
              <w:rPr>
                <w:rFonts w:ascii="Calibri" w:cs="Calibri" w:eastAsia="Calibri" w:hAnsi="Calibri"/>
                <w:b/>
                <w:bCs/>
                <w:color w:val="000000"/>
                <w:sz w:val="17"/>
                <w:szCs w:val="17"/>
              </w:rPr>
              <w:t xml:space="preserve">✔  Solde UNIQUEMENT à l'obtention du permis</w:t>
            </w:r>
          </w:p>
          <w:p>
            <w:pPr>
              <w:spacing w:after="0" w:before="0"/>
            </w:pPr>
            <w:r>
              <w:rPr>
                <w:rFonts w:ascii="Calibri" w:cs="Calibri" w:eastAsia="Calibri" w:hAnsi="Calibri"/>
                <w:color w:val="000000"/>
                <w:sz w:val="17"/>
                <w:szCs w:val="17"/>
              </w:rPr>
              <w:t xml:space="preserve">✔  65 000 F exigibles à la signature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1D7A45" w:val="clear"/>
            <w:vAlign w:val="center"/>
          </w:tcPr>
          <w:p>
            <w:pPr>
              <w:jc w:val="center"/>
            </w:pPr>
            <w:r>
              <w:rPr>
                <w:rFonts w:ascii="Calibri" w:cs="Calibri" w:eastAsia="Calibri" w:hAnsi="Calibri"/>
                <w:sz w:val="22"/>
                <w:szCs w:val="22"/>
              </w:rPr>
              <w:t xml:space="preserve">🔒</w:t>
            </w:r>
          </w:p>
        </w:tc>
        <w:tc>
          <w:tcPr>
            <w:tcW w:type="auto" w:w="9698"/>
            <w:tcBorders>
              <w:top w:val="single" w:color="DDBB66" w:sz="1"/>
              <w:left w:val="single" w:color="DDBB66" w:sz="1"/>
              <w:bottom w:val="single" w:color="DDBB66" w:sz="1"/>
              <w:right w:val="single" w:color="DDBB66" w:sz="1"/>
            </w:tcBorders>
            <w:shd w:fill="E5F3EA" w:val="clear"/>
            <w:tcMar>
              <w:top w:type="dxa" w:w="70"/>
              <w:left w:type="dxa" w:w="160"/>
              <w:bottom w:type="dxa" w:w="70"/>
              <w:right w:type="dxa" w:w="140"/>
            </w:tcMar>
          </w:tcPr>
          <w:p>
            <w:pPr>
              <w:jc w:val="both"/>
            </w:pPr>
            <w:r>
              <w:rPr>
                <w:rFonts w:ascii="Calibri" w:cs="Calibri" w:eastAsia="Calibri" w:hAnsi="Calibri"/>
                <w:color w:val="131E2D"/>
                <w:sz w:val="17"/>
                <w:szCs w:val="17"/>
              </w:rPr>
              <w:t xml:space="preserve">La formule 'Permis Garanti' protège votre investissement : vous ne payez le solde qu'à l'obtention effective de votre permis de travail. Notre engagement le plus fort envers vous.</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09  —  Motifs de Refus Fréquents &amp; Solutions 3M Travel</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800"/>
        <w:gridCol w:w="3000"/>
        <w:gridCol w:w="4118"/>
      </w:tblGrid>
      <w:tr>
        <w:tc>
          <w:tcPr>
            <w:tcW w:type="auto" w:w="28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Motif de refus</w:t>
            </w:r>
          </w:p>
        </w:tc>
        <w:tc>
          <w:tcPr>
            <w:tcW w:type="auto" w:w="3000"/>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Cause</w:t>
            </w:r>
          </w:p>
        </w:tc>
        <w:tc>
          <w:tcPr>
            <w:tcW w:type="auto" w:w="4118"/>
            <w:tcBorders>
              <w:top w:val="single" w:color="DDBB66" w:sz="1"/>
              <w:left w:val="single" w:color="DDBB66" w:sz="1"/>
              <w:bottom w:val="single" w:color="DDBB66" w:sz="1"/>
              <w:right w:val="single" w:color="DDBB66"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Solution 3M Travel</w:t>
            </w:r>
          </w:p>
        </w:tc>
      </w:tr>
      <w:tr>
        <w:tc>
          <w:tcPr>
            <w:tcW w:type="auto" w:w="28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Dossier incomplet / incohérent</w:t>
            </w:r>
          </w:p>
        </w:tc>
        <w:tc>
          <w:tcPr>
            <w:tcW w:type="auto" w:w="30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Documents manquants ou dates contradictoires</w:t>
            </w:r>
          </w:p>
        </w:tc>
        <w:tc>
          <w:tcPr>
            <w:tcW w:type="auto" w:w="41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3M Travel vérifie chaque document avant soumission — zéro erreur</w:t>
            </w:r>
          </w:p>
        </w:tc>
      </w:tr>
      <w:tr>
        <w:tc>
          <w:tcPr>
            <w:tcW w:type="auto" w:w="2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Offre d'emploi non conforme</w:t>
            </w:r>
          </w:p>
        </w:tc>
        <w:tc>
          <w:tcPr>
            <w:tcW w:type="auto" w:w="30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Contrat invalide ou salaire insuffisant</w:t>
            </w:r>
          </w:p>
        </w:tc>
        <w:tc>
          <w:tcPr>
            <w:tcW w:type="auto" w:w="4118"/>
            <w:tcBorders>
              <w:top w:val="single" w:color="DDBB66" w:sz="1"/>
              <w:left w:val="single" w:color="DDBB66" w:sz="1"/>
              <w:bottom w:val="single" w:color="DDBB66" w:sz="1"/>
              <w:right w:val="single" w:color="DDBB66"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3M Travel valide chaque contrat selon les conventions collectives</w:t>
            </w:r>
          </w:p>
        </w:tc>
      </w:tr>
      <w:tr>
        <w:tc>
          <w:tcPr>
            <w:tcW w:type="auto" w:w="28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Diplôme non reconnu</w:t>
            </w:r>
          </w:p>
        </w:tc>
        <w:tc>
          <w:tcPr>
            <w:tcW w:type="auto" w:w="30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Équivalence non faite pour métier réglementé</w:t>
            </w:r>
          </w:p>
        </w:tc>
        <w:tc>
          <w:tcPr>
            <w:tcW w:type="auto" w:w="41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Accompagnement reconnaissance ENIC-NARIC initié dès la phase 1</w:t>
            </w:r>
          </w:p>
        </w:tc>
      </w:tr>
      <w:tr>
        <w:tc>
          <w:tcPr>
            <w:tcW w:type="auto" w:w="2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Ressources financières insuffisantes</w:t>
            </w:r>
          </w:p>
        </w:tc>
        <w:tc>
          <w:tcPr>
            <w:tcW w:type="auto" w:w="30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Pas de preuve de fonds pour la période d'installation</w:t>
            </w:r>
          </w:p>
        </w:tc>
        <w:tc>
          <w:tcPr>
            <w:tcW w:type="auto" w:w="4118"/>
            <w:tcBorders>
              <w:top w:val="single" w:color="DDBB66" w:sz="1"/>
              <w:left w:val="single" w:color="DDBB66" w:sz="1"/>
              <w:bottom w:val="single" w:color="DDBB66" w:sz="1"/>
              <w:right w:val="single" w:color="DDBB66"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Préparation relevés + lettre de garant + stratégie financière</w:t>
            </w:r>
          </w:p>
        </w:tc>
      </w:tr>
      <w:tr>
        <w:tc>
          <w:tcPr>
            <w:tcW w:type="auto" w:w="28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Test de langue insuffisant</w:t>
            </w:r>
          </w:p>
        </w:tc>
        <w:tc>
          <w:tcPr>
            <w:tcW w:type="auto" w:w="30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Niveau requis non atteint</w:t>
            </w:r>
          </w:p>
        </w:tc>
        <w:tc>
          <w:tcPr>
            <w:tcW w:type="auto" w:w="41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Préparation aux tests + orientation vers postes sans exigence langue</w:t>
            </w:r>
          </w:p>
        </w:tc>
      </w:tr>
      <w:tr>
        <w:tc>
          <w:tcPr>
            <w:tcW w:type="auto" w:w="2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Visite médicale non conforme</w:t>
            </w:r>
          </w:p>
        </w:tc>
        <w:tc>
          <w:tcPr>
            <w:tcW w:type="auto" w:w="30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Résultats insuffisants ou médecin non agréé</w:t>
            </w:r>
          </w:p>
        </w:tc>
        <w:tc>
          <w:tcPr>
            <w:tcW w:type="auto" w:w="4118"/>
            <w:tcBorders>
              <w:top w:val="single" w:color="DDBB66" w:sz="1"/>
              <w:left w:val="single" w:color="DDBB66" w:sz="1"/>
              <w:bottom w:val="single" w:color="DDBB66" w:sz="1"/>
              <w:right w:val="single" w:color="DDBB66"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Orientation vers médecin agréé + préparation à la visite</w:t>
            </w:r>
          </w:p>
        </w:tc>
      </w:tr>
      <w:tr>
        <w:tc>
          <w:tcPr>
            <w:tcW w:type="auto" w:w="28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Casier judiciaire chargé</w:t>
            </w:r>
          </w:p>
        </w:tc>
        <w:tc>
          <w:tcPr>
            <w:tcW w:type="auto" w:w="30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Antécédents pénaux = refus automatique</w:t>
            </w:r>
          </w:p>
        </w:tc>
        <w:tc>
          <w:tcPr>
            <w:tcW w:type="auto" w:w="41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Analyse préalable + orientation vers pays les plus accommodants</w:t>
            </w:r>
          </w:p>
        </w:tc>
      </w:tr>
      <w:tr>
        <w:tc>
          <w:tcPr>
            <w:tcW w:type="auto" w:w="28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Fausse déclaration</w:t>
            </w:r>
          </w:p>
        </w:tc>
        <w:tc>
          <w:tcPr>
            <w:tcW w:type="auto" w:w="3000"/>
            <w:tcBorders>
              <w:top w:val="single" w:color="DDBB66" w:sz="1"/>
              <w:left w:val="single" w:color="DDBB66" w:sz="1"/>
              <w:bottom w:val="single" w:color="DDBB66" w:sz="1"/>
              <w:right w:val="single" w:color="DDBB66"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Toute fausse déclaration = interdiction territoire</w:t>
            </w:r>
          </w:p>
        </w:tc>
        <w:tc>
          <w:tcPr>
            <w:tcW w:type="auto" w:w="4118"/>
            <w:tcBorders>
              <w:top w:val="single" w:color="DDBB66" w:sz="1"/>
              <w:left w:val="single" w:color="DDBB66" w:sz="1"/>
              <w:bottom w:val="single" w:color="DDBB66" w:sz="1"/>
              <w:right w:val="single" w:color="DDBB66"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Dossier 100% authentique — 3M Travel ne travaille qu'avec des docs réels</w:t>
            </w:r>
          </w:p>
        </w:tc>
      </w:tr>
      <w:tr>
        <w:tc>
          <w:tcPr>
            <w:tcW w:type="auto" w:w="28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Langue allemande insuffisante</w:t>
            </w:r>
          </w:p>
        </w:tc>
        <w:tc>
          <w:tcPr>
            <w:tcW w:type="auto" w:w="3000"/>
            <w:tcBorders>
              <w:top w:val="single" w:color="DDBB66" w:sz="1"/>
              <w:left w:val="single" w:color="DDBB66" w:sz="1"/>
              <w:bottom w:val="single" w:color="DDBB66" w:sz="1"/>
              <w:right w:val="single" w:color="DDBB66"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Certains postes exigent B1 ou B2 allemand</w:t>
            </w:r>
          </w:p>
        </w:tc>
        <w:tc>
          <w:tcPr>
            <w:tcW w:type="auto" w:w="4118"/>
            <w:tcBorders>
              <w:top w:val="single" w:color="DDBB66" w:sz="1"/>
              <w:left w:val="single" w:color="DDBB66" w:sz="1"/>
              <w:bottom w:val="single" w:color="DDBB66" w:sz="1"/>
              <w:right w:val="single" w:color="DDBB66"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Cours Goethe Institut Yaoundé dès le début + Chancenkarte si profil éligible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000000"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FFCC00" w:val="clear"/>
          </w:tcPr>
          <w:p>
            <w:r>
              <w:t xml:space="preserve"/>
            </w:r>
          </w:p>
        </w:tc>
        <w:tc>
          <w:tcPr>
            <w:tcW w:type="auto" w:w="9558"/>
            <w:tcBorders>
              <w:top w:val="none" w:color="FFFFFF" w:sz="0"/>
              <w:left w:val="none" w:color="FFFFFF" w:sz="0"/>
              <w:bottom w:val="none" w:color="FFFFFF" w:sz="0"/>
              <w:right w:val="none" w:color="FFFFFF" w:sz="0"/>
            </w:tcBorders>
            <w:shd w:fill="000000" w:val="clear"/>
            <w:tcMar>
              <w:top w:type="dxa" w:w="90"/>
              <w:left w:type="dxa" w:w="220"/>
              <w:bottom w:type="dxa" w:w="90"/>
              <w:right w:type="dxa" w:w="180"/>
            </w:tcMar>
          </w:tcPr>
          <w:p>
            <w:r>
              <w:rPr>
                <w:rFonts w:ascii="Calibri" w:cs="Calibri" w:eastAsia="Calibri" w:hAnsi="Calibri"/>
                <w:b/>
                <w:bCs/>
                <w:caps/>
                <w:color w:val="FFFFFF"/>
                <w:sz w:val="20"/>
                <w:szCs w:val="20"/>
              </w:rPr>
              <w:t xml:space="preserve">10  —  Contacts, Ambassade &amp; Consultation Gratuite</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800"/>
        <w:gridCol w:w="4800"/>
        <w:gridCol w:w="4318"/>
      </w:tblGrid>
      <w:tr>
        <w:tc>
          <w:tcPr>
            <w:tcW w:type="auto" w:w="800"/>
            <w:tcBorders>
              <w:top w:val="single" w:color="DDBB66" w:sz="1"/>
              <w:left w:val="single" w:color="DDBB66" w:sz="1"/>
              <w:bottom w:val="single" w:color="DDBB66" w:sz="1"/>
              <w:right w:val="single" w:color="DDBB66" w:sz="1"/>
            </w:tcBorders>
            <w:shd w:fill="F4F7FC" w:val="clear"/>
            <w:tcMar>
              <w:top w:type="dxa" w:w="60"/>
              <w:left w:type="dxa" w:w="40"/>
              <w:bottom w:type="dxa" w:w="60"/>
              <w:right w:type="dxa" w:w="40"/>
            </w:tcMar>
            <w:vAlign w:val="center"/>
          </w:tcPr>
          <w:p>
            <w:pPr>
              <w:jc w:val="center"/>
            </w:pPr>
            <w:r>
              <w:drawing>
                <wp:inline distT="0" distB="0" distL="0" distR="0">
                  <wp:extent cx="76200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14375"/>
                          </a:xfrm>
                          <a:prstGeom prst="rect">
                            <a:avLst/>
                          </a:prstGeom>
                        </pic:spPr>
                      </pic:pic>
                    </a:graphicData>
                  </a:graphic>
                </wp:inline>
              </w:drawing>
            </w:r>
          </w:p>
        </w:tc>
        <w:tc>
          <w:tcPr>
            <w:tcW w:type="auto" w:w="4800"/>
            <w:tcBorders>
              <w:top w:val="single" w:color="DDBB66" w:sz="1"/>
              <w:left w:val="single" w:color="DDBB66" w:sz="1"/>
              <w:bottom w:val="single" w:color="DDBB66" w:sz="1"/>
              <w:right w:val="single" w:color="DDBB66" w:sz="1"/>
            </w:tcBorders>
            <w:shd w:fill="F4F7FC" w:val="clear"/>
            <w:tcMar>
              <w:top w:type="dxa" w:w="110"/>
              <w:left w:type="dxa" w:w="180"/>
              <w:bottom w:type="dxa" w:w="110"/>
              <w:right w:type="dxa" w:w="140"/>
            </w:tcMar>
          </w:tcPr>
          <w:p>
            <w:pPr>
              <w:spacing w:after="50" w:before="0"/>
            </w:pPr>
            <w:r>
              <w:rPr>
                <w:rFonts w:ascii="Calibri" w:cs="Calibri" w:eastAsia="Calibri" w:hAnsi="Calibri"/>
                <w:b/>
                <w:bCs/>
                <w:color w:val="1A3A6B"/>
                <w:sz w:val="20"/>
                <w:szCs w:val="20"/>
              </w:rPr>
              <w:t xml:space="preserve">3M TRAVEL &amp; SERVICES SARL</w:t>
            </w:r>
          </w:p>
          <w:p>
            <w:pPr>
              <w:spacing w:after="40" w:before="0"/>
            </w:pPr>
            <w:r>
              <w:rPr>
                <w:rFonts w:ascii="Calibri" w:cs="Calibri" w:eastAsia="Calibri" w:hAnsi="Calibri"/>
                <w:color w:val="131E2D"/>
                <w:sz w:val="18"/>
                <w:szCs w:val="18"/>
              </w:rPr>
              <w:t xml:space="preserve">📞 +237 698 104 832  /  +237 620 996 045</w:t>
            </w:r>
          </w:p>
          <w:p>
            <w:pPr>
              <w:spacing w:after="40" w:before="0"/>
            </w:pPr>
            <w:r>
              <w:rPr>
                <w:rFonts w:ascii="Calibri" w:cs="Calibri" w:eastAsia="Calibri" w:hAnsi="Calibri"/>
                <w:color w:val="2B5BA8"/>
                <w:sz w:val="18"/>
                <w:szCs w:val="18"/>
              </w:rPr>
              <w:t xml:space="preserve">✉  hello@3mtravelagency.com   🌐 www.3mtravelagency.com</w:t>
            </w:r>
          </w:p>
          <w:p>
            <w:pPr>
              <w:spacing w:after="0" w:before="0"/>
            </w:pPr>
            <w:r>
              <w:rPr>
                <w:rFonts w:ascii="Calibri" w:cs="Calibri" w:eastAsia="Calibri" w:hAnsi="Calibri"/>
                <w:color w:val="4A6080"/>
                <w:sz w:val="16"/>
                <w:szCs w:val="16"/>
              </w:rPr>
              <w:t xml:space="preserve">📍 Biyem-Assi, montée chapelle Obili — Yaoundé  |  RC/YAO/2019/A/2567</w:t>
            </w:r>
          </w:p>
        </w:tc>
        <w:tc>
          <w:tcPr>
            <w:tcW w:type="auto" w:w="4318"/>
            <w:tcBorders>
              <w:top w:val="single" w:color="DDBB66" w:sz="1"/>
              <w:left w:val="single" w:color="DDBB66" w:sz="1"/>
              <w:bottom w:val="single" w:color="DDBB66" w:sz="1"/>
              <w:right w:val="single" w:color="DDBB66" w:sz="1"/>
            </w:tcBorders>
            <w:shd w:fill="FFF8E1" w:val="clear"/>
            <w:tcMar>
              <w:top w:type="dxa" w:w="110"/>
              <w:left w:type="dxa" w:w="180"/>
              <w:bottom w:type="dxa" w:w="110"/>
              <w:right w:type="dxa" w:w="140"/>
            </w:tcMar>
          </w:tcPr>
          <w:p>
            <w:pPr>
              <w:spacing w:after="50" w:before="0"/>
            </w:pPr>
            <w:r>
              <w:rPr>
                <w:rFonts w:ascii="Calibri" w:cs="Calibri" w:eastAsia="Calibri" w:hAnsi="Calibri"/>
                <w:b/>
                <w:bCs/>
                <w:color w:val="000000"/>
                <w:sz w:val="18"/>
                <w:szCs w:val="18"/>
              </w:rPr>
              <w:t xml:space="preserve">🇩🇪  Ambassade d'Allemagne + VFS Global</w:t>
            </w:r>
          </w:p>
          <w:p>
            <w:pPr>
              <w:spacing w:after="40" w:before="0"/>
            </w:pPr>
            <w:r>
              <w:rPr>
                <w:rFonts w:ascii="Calibri" w:cs="Calibri" w:eastAsia="Calibri" w:hAnsi="Calibri"/>
                <w:color w:val="131E2D"/>
                <w:sz w:val="16"/>
                <w:szCs w:val="16"/>
              </w:rPr>
              <w:t xml:space="preserve">📍 Rue Rosa Luxemburg, Bastos / VFS Global Yaoundé</w:t>
            </w:r>
          </w:p>
          <w:p>
            <w:pPr>
              <w:spacing w:after="40" w:before="0"/>
            </w:pPr>
            <w:r>
              <w:rPr>
                <w:rFonts w:ascii="Calibri" w:cs="Calibri" w:eastAsia="Calibri" w:hAnsi="Calibri"/>
                <w:color w:val="131E2D"/>
                <w:sz w:val="16"/>
                <w:szCs w:val="16"/>
              </w:rPr>
              <w:t xml:space="preserve">📞 +237 222 205 644</w:t>
            </w:r>
          </w:p>
          <w:p>
            <w:pPr>
              <w:spacing w:after="0" w:before="0"/>
            </w:pPr>
            <w:r>
              <w:rPr>
                <w:rFonts w:ascii="Calibri" w:cs="Calibri" w:eastAsia="Calibri" w:hAnsi="Calibri"/>
                <w:color w:val="2B5BA8"/>
                <w:sz w:val="16"/>
                <w:szCs w:val="16"/>
              </w:rPr>
              <w:t xml:space="preserve">🌐 yaunde.diplo.de / vfsglobal.com</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9618"/>
      </w:tblGrid>
      <w:tr>
        <w:tc>
          <w:tcPr>
            <w:tcW w:type="auto" w:w="100"/>
            <w:tcBorders>
              <w:top w:val="none" w:color="FFFFFF" w:sz="0"/>
              <w:left w:val="none" w:color="FFFFFF" w:sz="0"/>
              <w:bottom w:val="none" w:color="FFFFFF" w:sz="0"/>
              <w:right w:val="none" w:color="FFFFFF" w:sz="0"/>
            </w:tcBorders>
            <w:shd w:fill="000000" w:val="clear"/>
          </w:tcPr>
          <w:p>
            <w:r>
              <w:t xml:space="preserve"/>
            </w:r>
          </w:p>
        </w:tc>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100"/>
            <w:tcBorders>
              <w:top w:val="none" w:color="FFFFFF" w:sz="0"/>
              <w:left w:val="none" w:color="FFFFFF" w:sz="0"/>
              <w:bottom w:val="none" w:color="FFFFFF" w:sz="0"/>
              <w:right w:val="none" w:color="FFFFFF" w:sz="0"/>
            </w:tcBorders>
            <w:shd w:fill="FFCC00" w:val="clear"/>
          </w:tcPr>
          <w:p>
            <w:r>
              <w:t xml:space="preserve"/>
            </w:r>
          </w:p>
        </w:tc>
        <w:tc>
          <w:tcPr>
            <w:tcW w:type="auto" w:w="9618"/>
            <w:tcBorders>
              <w:top w:val="none" w:color="FFFFFF" w:sz="0"/>
              <w:left w:val="none" w:color="FFFFFF" w:sz="0"/>
              <w:bottom w:val="none" w:color="FFFFFF" w:sz="0"/>
              <w:right w:val="none" w:color="FFFFFF" w:sz="0"/>
            </w:tcBorders>
            <w:shd w:fill="000000" w:val="clear"/>
            <w:tcMar>
              <w:top w:type="dxa" w:w="150"/>
              <w:left w:type="dxa" w:w="260"/>
              <w:bottom w:type="dxa" w:w="150"/>
              <w:right w:type="dxa" w:w="240"/>
            </w:tcMar>
          </w:tcPr>
          <w:p>
            <w:pPr>
              <w:spacing w:after="90" w:before="0"/>
              <w:jc w:val="center"/>
            </w:pPr>
            <w:r>
              <w:rPr>
                <w:rFonts w:ascii="Calibri" w:cs="Calibri" w:eastAsia="Calibri" w:hAnsi="Calibri"/>
                <w:b/>
                <w:bCs/>
                <w:color w:val="C8A400"/>
                <w:sz w:val="24"/>
                <w:szCs w:val="24"/>
              </w:rPr>
              <w:t xml:space="preserve">✅  CONSULTATION INITIALE GRATUITE &amp; SANS ENGAGEMENT</w:t>
            </w:r>
          </w:p>
          <w:p>
            <w:pPr>
              <w:spacing w:after="100" w:before="0"/>
              <w:jc w:val="center"/>
            </w:pPr>
            <w:r>
              <w:rPr>
                <w:rFonts w:ascii="Calibri" w:cs="Calibri" w:eastAsia="Calibri" w:hAnsi="Calibri"/>
                <w:color w:val="DDEEEE"/>
                <w:sz w:val="19"/>
                <w:szCs w:val="19"/>
              </w:rPr>
              <w:t xml:space="preserve">Analyse de votre profil, identification du secteur optimal en Allemagne, devis personnalisé — gratuitement.</w:t>
            </w:r>
          </w:p>
          <w:p>
            <w:pPr>
              <w:spacing w:after="70" w:before="0"/>
              <w:jc w:val="center"/>
            </w:pPr>
            <w:r>
              <w:rPr>
                <w:rFonts w:ascii="Calibri" w:cs="Calibri" w:eastAsia="Calibri" w:hAnsi="Calibri"/>
                <w:b/>
                <w:bCs/>
                <w:color w:val="FFFFFF"/>
                <w:sz w:val="24"/>
                <w:szCs w:val="24"/>
              </w:rPr>
              <w:t xml:space="preserve">📞 +237 698 104 832  /  +237 620 996 045</w:t>
            </w:r>
          </w:p>
          <w:p>
            <w:pPr>
              <w:spacing w:after="0" w:before="0"/>
              <w:jc w:val="center"/>
            </w:pPr>
            <w:r>
              <w:rPr>
                <w:rFonts w:ascii="Calibri" w:cs="Calibri" w:eastAsia="Calibri" w:hAnsi="Calibri"/>
                <w:b/>
                <w:bCs/>
                <w:i/>
                <w:iCs/>
                <w:color w:val="C8A400"/>
                <w:sz w:val="18"/>
                <w:szCs w:val="18"/>
              </w:rPr>
              <w:t xml:space="preserve">« Votre mobilité, notre expertise. Votre réussite, notre mission. »</w:t>
            </w:r>
          </w:p>
        </w:tc>
      </w:tr>
    </w:tbl>
    <w:p>
      <w:pPr>
        <w:spacing w:after="0" w:before="80"/>
      </w:pPr>
      <w:r>
        <w:t xml:space="preserve"/>
      </w:r>
    </w:p>
    <w:p>
      <w:pPr>
        <w:pBdr>
          <w:top w:val="single" w:color="CCCCCC" w:sz="1"/>
        </w:pBdr>
        <w:spacing w:before="80"/>
        <w:jc w:val="center"/>
      </w:pPr>
      <w:r>
        <w:rPr>
          <w:rFonts w:ascii="Calibri" w:cs="Calibri" w:eastAsia="Calibri" w:hAnsi="Calibri"/>
          <w:i/>
          <w:iCs/>
          <w:color w:val="4A6080"/>
          <w:sz w:val="15"/>
          <w:szCs w:val="15"/>
        </w:rPr>
        <w:t xml:space="preserve">Document établi par 3M Travel &amp; Services SARL — À titre informatif. Frais, délais et conditions susceptibles d'évoluer. Consultez-nous pour toute situation particulière.</w:t>
      </w:r>
    </w:p>
    <w:sectPr>
      <w:head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700"/>
      <w:gridCol w:w="5500"/>
      <w:gridCol w:w="3318"/>
    </w:tblGrid>
    <w:tr>
      <w:tc>
        <w:tcPr>
          <w:tcW w:type="auto" w:w="100"/>
          <w:tcBorders>
            <w:top w:val="none" w:color="FFFFFF" w:sz="0"/>
            <w:left w:val="none" w:color="FFFFFF" w:sz="0"/>
            <w:bottom w:val="none" w:color="FFFFFF" w:sz="0"/>
            <w:right w:val="none" w:color="FFFFFF" w:sz="0"/>
          </w:tcBorders>
          <w:shd w:fill="000000" w:val="clear"/>
        </w:tcPr>
        <w:p>
          <w:r>
            <w:t xml:space="preserve"/>
          </w:r>
        </w:p>
      </w:tc>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100"/>
          <w:tcBorders>
            <w:top w:val="none" w:color="FFFFFF" w:sz="0"/>
            <w:left w:val="none" w:color="FFFFFF" w:sz="0"/>
            <w:bottom w:val="none" w:color="FFFFFF" w:sz="0"/>
            <w:right w:val="none" w:color="FFFFFF" w:sz="0"/>
          </w:tcBorders>
          <w:shd w:fill="FFCC00" w:val="clear"/>
        </w:tcPr>
        <w:p>
          <w:r>
            <w:t xml:space="preserve"/>
          </w:r>
        </w:p>
      </w:tc>
      <w:tc>
        <w:tcPr>
          <w:tcW w:type="auto" w:w="700"/>
          <w:tcBorders>
            <w:top w:val="none" w:color="FFFFFF" w:sz="0"/>
            <w:left w:val="none" w:color="FFFFFF" w:sz="0"/>
            <w:bottom w:val="none" w:color="FFFFFF" w:sz="0"/>
            <w:right w:val="none" w:color="FFFFFF" w:sz="0"/>
          </w:tcBorders>
          <w:shd w:fill="FFFFFF" w:val="clear"/>
          <w:tcMar>
            <w:top w:type="dxa" w:w="15"/>
            <w:left w:type="dxa" w:w="30"/>
            <w:bottom w:type="dxa" w:w="15"/>
            <w:right w:type="dxa" w:w="30"/>
          </w:tcMar>
          <w:vAlign w:val="center"/>
        </w:tcPr>
        <w:p>
          <w:pPr>
            <w:jc w:val="center"/>
          </w:pPr>
          <w:r>
            <w:drawing>
              <wp:inline distT="0" distB="0" distL="0" distR="0">
                <wp:extent cx="495300"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466725"/>
                        </a:xfrm>
                        <a:prstGeom prst="rect">
                          <a:avLst/>
                        </a:prstGeom>
                      </pic:spPr>
                    </pic:pic>
                  </a:graphicData>
                </a:graphic>
              </wp:inline>
            </w:drawing>
          </w:r>
        </w:p>
      </w:tc>
      <w:tc>
        <w:tcPr>
          <w:tcW w:type="auto" w:w="5500"/>
          <w:tcBorders>
            <w:top w:val="none" w:color="FFFFFF" w:sz="0"/>
            <w:left w:val="none" w:color="FFFFFF" w:sz="0"/>
            <w:bottom w:val="single" w:color="FFCC00" w:sz="6"/>
            <w:right w:val="none" w:color="FFFFFF" w:sz="0"/>
          </w:tcBorders>
          <w:shd w:fill="1A3A6B" w:val="clear"/>
          <w:tcMar>
            <w:top w:type="dxa" w:w="60"/>
            <w:left w:type="dxa" w:w="200"/>
            <w:bottom w:type="dxa" w:w="60"/>
            <w:right w:type="dxa" w:w="100"/>
          </w:tcMar>
          <w:vAlign w:val="center"/>
        </w:tcPr>
        <w:p>
          <w:r>
            <w:rPr>
              <w:rFonts w:ascii="Calibri" w:cs="Calibri" w:eastAsia="Calibri" w:hAnsi="Calibri"/>
              <w:b/>
              <w:bCs/>
              <w:color w:val="FFFFFF"/>
              <w:sz w:val="22"/>
              <w:szCs w:val="22"/>
            </w:rPr>
            <w:t xml:space="preserve">3M TRAVEL &amp; SERVICES SARL</w:t>
          </w:r>
        </w:p>
        <w:p>
          <w:r>
            <w:rPr>
              <w:rFonts w:ascii="Calibri" w:cs="Calibri" w:eastAsia="Calibri" w:hAnsi="Calibri"/>
              <w:color w:val="A8C8E8"/>
              <w:sz w:val="15"/>
              <w:szCs w:val="15"/>
            </w:rPr>
            <w:t xml:space="preserve">Immigration  •  Visa Travail 🇩🇪 Allemagne  •  Opportunités Africaines  •  À partir de 2 600 000 FCFA</w:t>
          </w:r>
        </w:p>
      </w:tc>
      <w:tc>
        <w:tcPr>
          <w:tcW w:type="auto" w:w="3318"/>
          <w:tcBorders>
            <w:top w:val="none" w:color="FFFFFF" w:sz="0"/>
            <w:left w:val="none" w:color="FFFFFF" w:sz="0"/>
            <w:bottom w:val="single" w:color="FFCC00" w:sz="6"/>
            <w:right w:val="none" w:color="FFFFFF" w:sz="0"/>
          </w:tcBorders>
          <w:shd w:fill="000000" w:val="clear"/>
          <w:tcMar>
            <w:top w:type="dxa" w:w="60"/>
            <w:left w:type="dxa" w:w="80"/>
            <w:bottom w:type="dxa" w:w="60"/>
            <w:right w:type="dxa" w:w="100"/>
          </w:tcMar>
          <w:vAlign w:val="center"/>
        </w:tcPr>
        <w:p>
          <w:pPr>
            <w:jc w:val="right"/>
          </w:pPr>
          <w:r>
            <w:rPr>
              <w:rFonts w:ascii="Calibri" w:cs="Calibri" w:eastAsia="Calibri" w:hAnsi="Calibri"/>
              <w:b/>
              <w:bCs/>
              <w:color w:val="FFFFFF"/>
              <w:sz w:val="18"/>
              <w:szCs w:val="18"/>
            </w:rPr>
            <w:t xml:space="preserve">VISA TRAVAIL 🇩🇪</w:t>
          </w:r>
        </w:p>
        <w:p>
          <w:pPr>
            <w:jc w:val="right"/>
          </w:pPr>
          <w:r>
            <w:rPr>
              <w:rFonts w:ascii="Calibri" w:cs="Calibri" w:eastAsia="Calibri" w:hAnsi="Calibri"/>
              <w:color w:val="EEEEEE"/>
              <w:sz w:val="15"/>
              <w:szCs w:val="15"/>
            </w:rPr>
            <w:t xml:space="preserve">Guide complet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image" Target="media/06c9fdc13fc3d7187dd1434deac6291683d079ac.jpe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6c9fdc13fc3d7187dd1434deac6291683d079ac.jpe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2026-05-05T23:16:25.148Z</dcterms:created>
  <dcterms:modified xsi:type="dcterms:W3CDTF">2026-05-05T23:16:25.149Z</dcterms:modified>
</cp:coreProperties>
</file>

<file path=docProps/custom.xml><?xml version="1.0" encoding="utf-8"?>
<Properties xmlns="http://schemas.openxmlformats.org/officeDocument/2006/custom-properties" xmlns:vt="http://schemas.openxmlformats.org/officeDocument/2006/docPropsVTypes"/>
</file>