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4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9618"/>
      </w:tblGrid>
      <w:tr>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333333"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9618"/>
            <w:tcBorders>
              <w:top w:val="none" w:color="FFFFFF" w:sz="0"/>
              <w:left w:val="none" w:color="FFFFFF" w:sz="0"/>
              <w:bottom w:val="none" w:color="FFFFFF" w:sz="0"/>
              <w:right w:val="none" w:color="FFFFFF" w:sz="0"/>
            </w:tcBorders>
            <w:shd w:fill="F4F7FC" w:val="clear"/>
            <w:tcMar>
              <w:top w:type="dxa" w:w="150"/>
              <w:left w:type="dxa" w:w="280"/>
              <w:bottom w:type="dxa" w:w="150"/>
              <w:right w:type="dxa" w:w="240"/>
            </w:tcMar>
          </w:tcPr>
          <w:p>
            <w:pPr>
              <w:spacing w:after="80" w:before="0"/>
            </w:pPr>
            <w:r>
              <w:rPr>
                <w:rFonts w:ascii="Calibri" w:cs="Calibri" w:eastAsia="Calibri" w:hAnsi="Calibri"/>
                <w:b/>
                <w:bCs/>
                <w:color w:val="CC0000"/>
                <w:sz w:val="40"/>
                <w:szCs w:val="40"/>
              </w:rPr>
              <w:t xml:space="preserve">VISA DE TRAVAIL 🇨🇭 SUISSE</w:t>
            </w:r>
          </w:p>
          <w:p>
            <w:pPr>
              <w:spacing w:after="70" w:before="0"/>
            </w:pPr>
            <w:r>
              <w:rPr>
                <w:rFonts w:ascii="Calibri" w:cs="Calibri" w:eastAsia="Calibri" w:hAnsi="Calibri"/>
                <w:b/>
                <w:bCs/>
                <w:color w:val="333333"/>
                <w:sz w:val="20"/>
                <w:szCs w:val="20"/>
              </w:rPr>
              <w:t xml:space="preserve">Visa Travail · Médiane 6 500 CHF Net · Pharma · Finance · IT · Santé · Quota Annuel</w:t>
            </w:r>
          </w:p>
          <w:p>
            <w:pPr>
              <w:spacing w:after="60" w:before="0"/>
            </w:pPr>
            <w:r>
              <w:rPr>
                <w:rFonts w:ascii="Calibri" w:cs="Calibri" w:eastAsia="Calibri" w:hAnsi="Calibri"/>
                <w:b/>
                <w:bCs/>
                <w:color w:val="C8A400"/>
                <w:sz w:val="18"/>
                <w:szCs w:val="18"/>
              </w:rPr>
              <w:t xml:space="preserve">Budget à partir de 2 800 000 FCFA HORS BILLET D'AVION  •  Variable selon profil  •  Permis Garanti disponible</w:t>
            </w:r>
          </w:p>
          <w:p>
            <w:pPr>
              <w:spacing w:after="0" w:before="0"/>
            </w:pPr>
            <w:r>
              <w:rPr>
                <w:rFonts w:ascii="Calibri" w:cs="Calibri" w:eastAsia="Calibri" w:hAnsi="Calibri"/>
                <w:i/>
                <w:iCs/>
                <w:color w:val="4A6080"/>
                <w:sz w:val="17"/>
                <w:szCs w:val="17"/>
              </w:rPr>
              <w:t xml:space="preserve">Document officiel pour ressortissants camerounais — 3M Travel &amp; Services SARL</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01  —  Pourquoi Travailler en Suisse ? Marché &amp; Chiffres Clés</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La Suisse, non membre de l'UE mais intégrée à l'espace Schengen, offre les salaires les plus élevés d'Europe avec une médiane à 6 500 CHF/mois net (≈ 4,4 millions FCFA/mois). Bien que la procédure soit soumise à un quota annuel (8 500 permis B pour hors-UE), les profils qualifiés camerounais dans les secteurs santé, finance, IT et recherche ont des chances réelles grâce à la pénurie structurelle de compétences.</w:t>
      </w:r>
    </w:p>
    <w:p>
      <w:pPr>
        <w:spacing w:after="0" w:before="50"/>
      </w:pPr>
      <w:r>
        <w:t xml:space="preserve"/>
      </w:r>
    </w:p>
    <w:p>
      <w:pPr>
        <w:pStyle w:val="ListParagraph"/>
        <w:numPr>
          <w:ilvl w:val="0"/>
          <w:numId w:val="2"/>
        </w:numPr>
        <w:spacing w:after="30" w:before="30"/>
      </w:pPr>
      <w:r>
        <w:rPr>
          <w:rFonts w:ascii="Calibri" w:cs="Calibri" w:eastAsia="Calibri" w:hAnsi="Calibri"/>
          <w:color w:val="131E2D"/>
          <w:sz w:val="18"/>
          <w:szCs w:val="18"/>
        </w:rPr>
        <w:t xml:space="preserve">Salaires les plus élevés d'Europe : médiane 6 500 CHF/mois net — jusqu'à 15 000+ CHF pour profils senior.</w:t>
      </w:r>
    </w:p>
    <w:p>
      <w:pPr>
        <w:pStyle w:val="ListParagraph"/>
        <w:numPr>
          <w:ilvl w:val="0"/>
          <w:numId w:val="2"/>
        </w:numPr>
        <w:spacing w:after="30" w:before="30"/>
      </w:pPr>
      <w:r>
        <w:rPr>
          <w:rFonts w:ascii="Calibri" w:cs="Calibri" w:eastAsia="Calibri" w:hAnsi="Calibri"/>
          <w:color w:val="131E2D"/>
          <w:sz w:val="18"/>
          <w:szCs w:val="18"/>
        </w:rPr>
        <w:t xml:space="preserve">Quota annuel de 8 500 permis B pour les hors-UE géré par le SEM (Secrétariat État aux Migrations).</w:t>
      </w:r>
    </w:p>
    <w:p>
      <w:pPr>
        <w:pStyle w:val="ListParagraph"/>
        <w:numPr>
          <w:ilvl w:val="0"/>
          <w:numId w:val="2"/>
        </w:numPr>
        <w:spacing w:after="30" w:before="30"/>
      </w:pPr>
      <w:r>
        <w:rPr>
          <w:rFonts w:ascii="Calibri" w:cs="Calibri" w:eastAsia="Calibri" w:hAnsi="Calibri"/>
          <w:color w:val="131E2D"/>
          <w:sz w:val="18"/>
          <w:szCs w:val="18"/>
        </w:rPr>
        <w:t xml:space="preserve">Genève = capitale mondiale de la diplomatie : ONU, OMS, CICR, OMC, 200+ organisations internationales.</w:t>
      </w:r>
    </w:p>
    <w:p>
      <w:pPr>
        <w:pStyle w:val="ListParagraph"/>
        <w:numPr>
          <w:ilvl w:val="0"/>
          <w:numId w:val="2"/>
        </w:numPr>
        <w:spacing w:after="30" w:before="30"/>
      </w:pPr>
      <w:r>
        <w:rPr>
          <w:rFonts w:ascii="Calibri" w:cs="Calibri" w:eastAsia="Calibri" w:hAnsi="Calibri"/>
          <w:color w:val="131E2D"/>
          <w:sz w:val="18"/>
          <w:szCs w:val="18"/>
        </w:rPr>
        <w:t xml:space="preserve">Zurich = 1er centre financier mondial hors New York — UBS, Zurich Insurance, Swiss Re.</w:t>
      </w:r>
    </w:p>
    <w:p>
      <w:pPr>
        <w:pStyle w:val="ListParagraph"/>
        <w:numPr>
          <w:ilvl w:val="0"/>
          <w:numId w:val="2"/>
        </w:numPr>
        <w:spacing w:after="30" w:before="30"/>
      </w:pPr>
      <w:r>
        <w:rPr>
          <w:rFonts w:ascii="Calibri" w:cs="Calibri" w:eastAsia="Calibri" w:hAnsi="Calibri"/>
          <w:color w:val="131E2D"/>
          <w:sz w:val="18"/>
          <w:szCs w:val="18"/>
        </w:rPr>
        <w:t xml:space="preserve">Suisse Romande (FR) + Berne bilingue : Camerounais francophones parfaitement positionnés.</w:t>
      </w:r>
    </w:p>
    <w:p>
      <w:pPr>
        <w:pStyle w:val="ListParagraph"/>
        <w:numPr>
          <w:ilvl w:val="0"/>
          <w:numId w:val="2"/>
        </w:numPr>
        <w:spacing w:after="30" w:before="30"/>
      </w:pPr>
      <w:r>
        <w:rPr>
          <w:rFonts w:ascii="Calibri" w:cs="Calibri" w:eastAsia="Calibri" w:hAnsi="Calibri"/>
          <w:color w:val="131E2D"/>
          <w:sz w:val="18"/>
          <w:szCs w:val="18"/>
        </w:rPr>
        <w:t xml:space="preserve">Secteurs sans quota ou quota allégé : santé, recherche, agriculture — plus accessibles.</w:t>
      </w:r>
    </w:p>
    <w:p>
      <w:pPr>
        <w:pStyle w:val="ListParagraph"/>
        <w:numPr>
          <w:ilvl w:val="0"/>
          <w:numId w:val="2"/>
        </w:numPr>
        <w:spacing w:after="30" w:before="30"/>
      </w:pPr>
      <w:r>
        <w:rPr>
          <w:rFonts w:ascii="Calibri" w:cs="Calibri" w:eastAsia="Calibri" w:hAnsi="Calibri"/>
          <w:color w:val="131E2D"/>
          <w:sz w:val="18"/>
          <w:szCs w:val="18"/>
        </w:rPr>
        <w:t xml:space="preserve">Coût de vie très élevé compensé par des salaires incomparables — rapport net/coût favorable.</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C0000"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FFE8E8"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Suisse est une destination premium pour les profils hautement qualifiés : cadres financiers, médecins spécialistes, chercheurs, ingénieurs senior. Le processus est plus exigeant mais les salaires sont 2 à 3 fois supérieurs à la moyenne UE. Budget légèrement supérieur mais retour sur investissement exceptionnel.</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333333" w:val="clear"/>
            <w:tcMar>
              <w:top w:type="dxa" w:w="90"/>
              <w:left w:type="dxa" w:w="220"/>
              <w:bottom w:type="dxa" w:w="90"/>
              <w:right w:type="dxa" w:w="180"/>
            </w:tcMar>
          </w:tcPr>
          <w:p>
            <w:r>
              <w:rPr>
                <w:rFonts w:ascii="Calibri" w:cs="Calibri" w:eastAsia="Calibri" w:hAnsi="Calibri"/>
                <w:b/>
                <w:bCs/>
                <w:caps/>
                <w:color w:val="FFFFFF"/>
                <w:sz w:val="20"/>
                <w:szCs w:val="20"/>
              </w:rPr>
              <w:t xml:space="preserve">02  —  Système de Permis de Travail en Suisse</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La Suisse applique son propre système via le SEM. Les permis hors-UE sont soumis à un quota annuel de 8 500 permis B. L'employeur doit démontrer qu'il n'a pas trouvé de candidat suisse ou UE/AELE (priorité nationale). Exception pour métiers en pénurie critique.</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0"/>
        <w:gridCol w:w="1500"/>
        <w:gridCol w:w="1400"/>
        <w:gridCol w:w="4818"/>
      </w:tblGrid>
      <w:tr>
        <w:tc>
          <w:tcPr>
            <w:tcW w:type="auto" w:w="22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Type de permis</w:t>
            </w:r>
          </w:p>
        </w:tc>
        <w:tc>
          <w:tcPr>
            <w:tcW w:type="auto" w:w="15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Durée</w:t>
            </w:r>
          </w:p>
        </w:tc>
        <w:tc>
          <w:tcPr>
            <w:tcW w:type="auto" w:w="14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Offre emploi</w:t>
            </w:r>
          </w:p>
        </w:tc>
        <w:tc>
          <w:tcPr>
            <w:tcW w:type="auto" w:w="4818"/>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Conditions &amp; Avantages</w:t>
            </w:r>
          </w:p>
        </w:tc>
      </w:tr>
      <w:tr>
        <w:tc>
          <w:tcPr>
            <w:tcW w:type="auto" w:w="22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Permis B (résidence temp.)</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1 an renouv.</w:t>
            </w:r>
          </w:p>
        </w:tc>
        <w:tc>
          <w:tcPr>
            <w:tcW w:type="auto" w:w="14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(contrat annuel)</w:t>
            </w:r>
          </w:p>
        </w:tc>
        <w:tc>
          <w:tcPr>
            <w:tcW w:type="auto" w:w="48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Principal permis hors-UE. Soumis au quota 8 500/an. Renouvelable si contrat actif.</w:t>
            </w:r>
          </w:p>
        </w:tc>
      </w:tr>
      <w:tr>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Permis L (court terme)</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Max 364 jours</w:t>
            </w:r>
          </w:p>
        </w:tc>
        <w:tc>
          <w:tcPr>
            <w:tcW w:type="auto" w:w="14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(contrat court)</w:t>
            </w:r>
          </w:p>
        </w:tc>
        <w:tc>
          <w:tcPr>
            <w:tcW w:type="auto" w:w="48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Contrat &lt; 1 an. Non soumis quota mais contrôles stricts du SEM.</w:t>
            </w:r>
          </w:p>
        </w:tc>
      </w:tr>
      <w:tr>
        <w:tc>
          <w:tcPr>
            <w:tcW w:type="auto" w:w="22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Permis C (résidence perm.)</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5 ans renouv.</w:t>
            </w:r>
          </w:p>
        </w:tc>
        <w:tc>
          <w:tcPr>
            <w:tcW w:type="auto" w:w="14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Non</w:t>
            </w:r>
          </w:p>
        </w:tc>
        <w:tc>
          <w:tcPr>
            <w:tcW w:type="auto" w:w="48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Après 5 ou 10 ans selon pays d'origine. Liberté totale marché du travail suisse.</w:t>
            </w:r>
          </w:p>
        </w:tc>
      </w:tr>
      <w:tr>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Visa chercheur (sans quota)</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Durée projet</w:t>
            </w:r>
          </w:p>
        </w:tc>
        <w:tc>
          <w:tcPr>
            <w:tcW w:type="auto" w:w="14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Non (université/labo)</w:t>
            </w:r>
          </w:p>
        </w:tc>
        <w:tc>
          <w:tcPr>
            <w:tcW w:type="auto" w:w="48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Pas de quota pour chercheurs. Universités suisses recrutent mondialement.</w:t>
            </w:r>
          </w:p>
        </w:tc>
      </w:tr>
      <w:tr>
        <w:tc>
          <w:tcPr>
            <w:tcW w:type="auto" w:w="22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Transfert Intragroupe</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3 ans max</w:t>
            </w:r>
          </w:p>
        </w:tc>
        <w:tc>
          <w:tcPr>
            <w:tcW w:type="auto" w:w="14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(multinationale)</w:t>
            </w:r>
          </w:p>
        </w:tc>
        <w:tc>
          <w:tcPr>
            <w:tcW w:type="auto" w:w="48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Pour cadres détachés. Entreprises avec siège ou filiale en Suisse.</w:t>
            </w:r>
          </w:p>
        </w:tc>
      </w:tr>
      <w:tr>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Saisonnier agricole (allégé)</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333333"/>
                <w:sz w:val="16"/>
                <w:szCs w:val="16"/>
              </w:rPr>
              <w:t xml:space="preserve">9 mois/an</w:t>
            </w:r>
          </w:p>
        </w:tc>
        <w:tc>
          <w:tcPr>
            <w:tcW w:type="auto" w:w="14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Oui (saisonnier)</w:t>
            </w:r>
          </w:p>
        </w:tc>
        <w:tc>
          <w:tcPr>
            <w:tcW w:type="auto" w:w="48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Agriculture, viticulture. Quota spécifique agricole — plus accessible.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C0000"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FFE8E8" w:val="clear"/>
            <w:tcMar>
              <w:top w:type="dxa" w:w="70"/>
              <w:left w:type="dxa" w:w="160"/>
              <w:bottom w:type="dxa" w:w="70"/>
              <w:right w:type="dxa" w:w="140"/>
            </w:tcMar>
          </w:tcPr>
          <w:p>
            <w:pPr>
              <w:jc w:val="both"/>
            </w:pPr>
            <w:r>
              <w:rPr>
                <w:rFonts w:ascii="Calibri" w:cs="Calibri" w:eastAsia="Calibri" w:hAnsi="Calibri"/>
                <w:color w:val="131E2D"/>
                <w:sz w:val="17"/>
                <w:szCs w:val="17"/>
              </w:rPr>
              <w:t xml:space="preserve">Pour les métiers en pénurie (médecins, infirmiers, IT senior, ingénieurs), la procédure de dispense de priorité nationale est accordée plus facilement. Genève, Zurich et Vaud ont les marchés les plus actifs pour les profils internationaux. Déposer en début d'année pour anticiper l'épuisement du quota.</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03  —  Secteurs en Tension &amp; Opportunités par Secteur</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00"/>
        <w:gridCol w:w="1800"/>
        <w:gridCol w:w="1650"/>
        <w:gridCol w:w="1600"/>
        <w:gridCol w:w="1600"/>
        <w:gridCol w:w="2968"/>
      </w:tblGrid>
      <w:tr>
        <w:tc>
          <w:tcPr>
            <w:tcW w:type="auto" w:w="3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
            </w:r>
          </w:p>
        </w:tc>
        <w:tc>
          <w:tcPr>
            <w:tcW w:type="auto" w:w="18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Secteur</w:t>
            </w:r>
          </w:p>
        </w:tc>
        <w:tc>
          <w:tcPr>
            <w:tcW w:type="auto" w:w="165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Postes/an</w:t>
            </w:r>
          </w:p>
        </w:tc>
        <w:tc>
          <w:tcPr>
            <w:tcW w:type="auto" w:w="16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Salaire brut/mois</w:t>
            </w:r>
          </w:p>
        </w:tc>
        <w:tc>
          <w:tcPr>
            <w:tcW w:type="auto" w:w="16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Permis</w:t>
            </w:r>
          </w:p>
        </w:tc>
        <w:tc>
          <w:tcPr>
            <w:tcW w:type="auto" w:w="2968"/>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Atout Camerounais</w:t>
            </w:r>
          </w:p>
        </w:tc>
      </w:tr>
      <w:tr>
        <w:tc>
          <w:tcPr>
            <w:tcW w:type="auto" w:w="300"/>
            <w:tcBorders>
              <w:top w:val="single" w:color="FFAAAA" w:sz="1"/>
              <w:left w:val="single" w:color="FFAAAA" w:sz="1"/>
              <w:bottom w:val="single" w:color="FFAAAA" w:sz="1"/>
              <w:right w:val="single" w:color="FFAAAA" w:sz="1"/>
            </w:tcBorders>
            <w:shd w:fill="FFE8E8"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Pharma &amp; Recherche médicale</w:t>
            </w:r>
          </w:p>
        </w:tc>
        <w:tc>
          <w:tcPr>
            <w:tcW w:type="auto" w:w="165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15 000+/an</w:t>
            </w:r>
          </w:p>
        </w:tc>
        <w:tc>
          <w:tcPr>
            <w:tcW w:type="auto" w:w="16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7 000–15 000 CHF</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 / Chercheur</w:t>
            </w:r>
          </w:p>
        </w:tc>
        <w:tc>
          <w:tcPr>
            <w:tcW w:type="auto" w:w="296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Novartis, Roche, Lonza — chercheurs monde entier recrutés</w:t>
            </w:r>
          </w:p>
        </w:tc>
      </w:tr>
      <w:tr>
        <w:tc>
          <w:tcPr>
            <w:tcW w:type="auto" w:w="300"/>
            <w:tcBorders>
              <w:top w:val="single" w:color="FFAAAA" w:sz="1"/>
              <w:left w:val="single" w:color="FFAAAA" w:sz="1"/>
              <w:bottom w:val="single" w:color="FFAAAA" w:sz="1"/>
              <w:right w:val="single" w:color="FFAAAA"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Finance &amp; Private Banking</w:t>
            </w:r>
          </w:p>
        </w:tc>
        <w:tc>
          <w:tcPr>
            <w:tcW w:type="auto" w:w="165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12 000+/an</w:t>
            </w:r>
          </w:p>
        </w:tc>
        <w:tc>
          <w:tcPr>
            <w:tcW w:type="auto" w:w="16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8 000–20 000 CHF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w:t>
            </w:r>
          </w:p>
        </w:tc>
        <w:tc>
          <w:tcPr>
            <w:tcW w:type="auto" w:w="296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Zurich hub bancaire — CFA + FR/EN = profil ultra-rare et valorisé</w:t>
            </w:r>
          </w:p>
        </w:tc>
      </w:tr>
      <w:tr>
        <w:tc>
          <w:tcPr>
            <w:tcW w:type="auto" w:w="300"/>
            <w:tcBorders>
              <w:top w:val="single" w:color="FFAAAA" w:sz="1"/>
              <w:left w:val="single" w:color="FFAAAA" w:sz="1"/>
              <w:bottom w:val="single" w:color="FFAAAA" w:sz="1"/>
              <w:right w:val="single" w:color="FFAAAA" w:sz="1"/>
            </w:tcBorders>
            <w:shd w:fill="FFE8E8"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Santé — Médecins &amp; Infirmiers</w:t>
            </w:r>
          </w:p>
        </w:tc>
        <w:tc>
          <w:tcPr>
            <w:tcW w:type="auto" w:w="165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20 000+/an</w:t>
            </w:r>
          </w:p>
        </w:tc>
        <w:tc>
          <w:tcPr>
            <w:tcW w:type="auto" w:w="16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6 000–12 000 CHF</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 (allégé santé)</w:t>
            </w:r>
          </w:p>
        </w:tc>
        <w:tc>
          <w:tcPr>
            <w:tcW w:type="auto" w:w="296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Pénurie critique — cantons facilitent permis santé hors-UE</w:t>
            </w:r>
          </w:p>
        </w:tc>
      </w:tr>
      <w:tr>
        <w:tc>
          <w:tcPr>
            <w:tcW w:type="auto" w:w="300"/>
            <w:tcBorders>
              <w:top w:val="single" w:color="FFAAAA" w:sz="1"/>
              <w:left w:val="single" w:color="FFAAAA" w:sz="1"/>
              <w:bottom w:val="single" w:color="FFAAAA" w:sz="1"/>
              <w:right w:val="single" w:color="FFAAAA"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IT &amp; Cybersécurité</w:t>
            </w:r>
          </w:p>
        </w:tc>
        <w:tc>
          <w:tcPr>
            <w:tcW w:type="auto" w:w="165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25 000+/an</w:t>
            </w:r>
          </w:p>
        </w:tc>
        <w:tc>
          <w:tcPr>
            <w:tcW w:type="auto" w:w="16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8 000–15 000 CHF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w:t>
            </w:r>
          </w:p>
        </w:tc>
        <w:tc>
          <w:tcPr>
            <w:tcW w:type="auto" w:w="296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Zurich Silicon Valley CH — anglais accepté — profils mondiaux</w:t>
            </w:r>
          </w:p>
        </w:tc>
      </w:tr>
      <w:tr>
        <w:tc>
          <w:tcPr>
            <w:tcW w:type="auto" w:w="300"/>
            <w:tcBorders>
              <w:top w:val="single" w:color="FFAAAA" w:sz="1"/>
              <w:left w:val="single" w:color="FFAAAA" w:sz="1"/>
              <w:bottom w:val="single" w:color="FFAAAA" w:sz="1"/>
              <w:right w:val="single" w:color="FFAAAA" w:sz="1"/>
            </w:tcBorders>
            <w:shd w:fill="FFE8E8"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Ingénierie &amp; Horlogerie</w:t>
            </w:r>
          </w:p>
        </w:tc>
        <w:tc>
          <w:tcPr>
            <w:tcW w:type="auto" w:w="165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10 000+/an</w:t>
            </w:r>
          </w:p>
        </w:tc>
        <w:tc>
          <w:tcPr>
            <w:tcW w:type="auto" w:w="16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6 000–12 000 CHF</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w:t>
            </w:r>
          </w:p>
        </w:tc>
        <w:tc>
          <w:tcPr>
            <w:tcW w:type="auto" w:w="296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EPFL, ETH Zürich — ingénieurs africains reconnus en recherche</w:t>
            </w:r>
          </w:p>
        </w:tc>
      </w:tr>
      <w:tr>
        <w:tc>
          <w:tcPr>
            <w:tcW w:type="auto" w:w="300"/>
            <w:tcBorders>
              <w:top w:val="single" w:color="FFAAAA" w:sz="1"/>
              <w:left w:val="single" w:color="FFAAAA" w:sz="1"/>
              <w:bottom w:val="single" w:color="FFAAAA" w:sz="1"/>
              <w:right w:val="single" w:color="FFAAAA"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Agriculture &amp; Viticulture</w:t>
            </w:r>
          </w:p>
        </w:tc>
        <w:tc>
          <w:tcPr>
            <w:tcW w:type="auto" w:w="165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8 000+/an</w:t>
            </w:r>
          </w:p>
        </w:tc>
        <w:tc>
          <w:tcPr>
            <w:tcW w:type="auto" w:w="16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4 000–6 000 CHF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Saisonnier agricole</w:t>
            </w:r>
          </w:p>
        </w:tc>
        <w:tc>
          <w:tcPr>
            <w:tcW w:type="auto" w:w="296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Valais, Vaud, Neuchâtel — quota agricole plus accessible</w:t>
            </w:r>
          </w:p>
        </w:tc>
      </w:tr>
      <w:tr>
        <w:tc>
          <w:tcPr>
            <w:tcW w:type="auto" w:w="300"/>
            <w:tcBorders>
              <w:top w:val="single" w:color="FFAAAA" w:sz="1"/>
              <w:left w:val="single" w:color="FFAAAA" w:sz="1"/>
              <w:bottom w:val="single" w:color="FFAAAA" w:sz="1"/>
              <w:right w:val="single" w:color="FFAAAA" w:sz="1"/>
            </w:tcBorders>
            <w:shd w:fill="FFE8E8"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Hôtellerie de luxe</w:t>
            </w:r>
          </w:p>
        </w:tc>
        <w:tc>
          <w:tcPr>
            <w:tcW w:type="auto" w:w="165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8 000+/an</w:t>
            </w:r>
          </w:p>
        </w:tc>
        <w:tc>
          <w:tcPr>
            <w:tcW w:type="auto" w:w="16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4 500–7 000 CHF</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Permis B</w:t>
            </w:r>
          </w:p>
        </w:tc>
        <w:tc>
          <w:tcPr>
            <w:tcW w:type="auto" w:w="296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Mandarin Oriental, Four Seasons — FR/EN natif très valorisé</w:t>
            </w:r>
          </w:p>
        </w:tc>
      </w:tr>
      <w:tr>
        <w:tc>
          <w:tcPr>
            <w:tcW w:type="auto" w:w="300"/>
            <w:tcBorders>
              <w:top w:val="single" w:color="FFAAAA" w:sz="1"/>
              <w:left w:val="single" w:color="FFAAAA" w:sz="1"/>
              <w:bottom w:val="single" w:color="FFAAAA" w:sz="1"/>
              <w:right w:val="single" w:color="FFAAAA" w:sz="1"/>
            </w:tcBorders>
            <w:shd w:fill="FFFFFF" w:val="clear"/>
            <w:tcMar>
              <w:top w:type="dxa" w:w="60"/>
              <w:left w:type="dxa" w:w="85"/>
              <w:bottom w:type="dxa" w:w="60"/>
              <w:right w:type="dxa" w:w="85"/>
            </w:tcMar>
          </w:tcPr>
          <w:p>
            <w:pPr>
              <w:jc w:val="center"/>
            </w:pPr>
            <w:r>
              <w:rPr>
                <w:rFonts w:ascii="Calibri" w:cs="Calibri" w:eastAsia="Calibri" w:hAnsi="Calibri"/>
                <w:b w:val="false"/>
                <w:bCs w:val="false"/>
                <w:i w:val="false"/>
                <w:iCs w:val="false"/>
                <w:color w:val="131E2D"/>
                <w:sz w:val="19"/>
                <w:szCs w:val="19"/>
              </w:rPr>
              <w:t xml:space="preserve">🎓</w:t>
            </w:r>
          </w:p>
        </w:tc>
        <w:tc>
          <w:tcPr>
            <w:tcW w:type="auto" w:w="1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Recherche EPFL/ETH (sans quota)</w:t>
            </w:r>
          </w:p>
        </w:tc>
        <w:tc>
          <w:tcPr>
            <w:tcW w:type="auto" w:w="165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5 000+/an</w:t>
            </w:r>
          </w:p>
        </w:tc>
        <w:tc>
          <w:tcPr>
            <w:tcW w:type="auto" w:w="16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5 500–8 000 CHF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4"/>
                <w:szCs w:val="14"/>
              </w:rPr>
              <w:t xml:space="preserve">Visa Chercheur</w:t>
            </w:r>
          </w:p>
        </w:tc>
        <w:tc>
          <w:tcPr>
            <w:tcW w:type="auto" w:w="296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EPFL Lausanne recrute Afrique — doctorants anglophones bienvenus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8A400"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FFFBE6" w:val="clear"/>
            <w:tcMar>
              <w:top w:type="dxa" w:w="70"/>
              <w:left w:type="dxa" w:w="160"/>
              <w:bottom w:type="dxa" w:w="70"/>
              <w:right w:type="dxa" w:w="140"/>
            </w:tcMar>
          </w:tcPr>
          <w:p>
            <w:pPr>
              <w:jc w:val="both"/>
            </w:pPr>
            <w:r>
              <w:rPr>
                <w:rFonts w:ascii="Calibri" w:cs="Calibri" w:eastAsia="Calibri" w:hAnsi="Calibri"/>
                <w:color w:val="131E2D"/>
                <w:sz w:val="17"/>
                <w:szCs w:val="17"/>
              </w:rPr>
              <w:t xml:space="preserve">TOP 3 Camerounais en Suisse : 🏥 Médecin spécialiste — pénurie critique, permis B allégé santé, salaire 8 000–12 000 CHF net. 💰 Analyste financier CFA — Zurich et Genève, profil ultra-rare FR/EN, salaire 8 000–15 000 CHF. 💊 Chercheur pharma — Novartis/Roche, recrutement mondial, SANS quota du tout.</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333333" w:val="clear"/>
            <w:tcMar>
              <w:top w:type="dxa" w:w="90"/>
              <w:left w:type="dxa" w:w="220"/>
              <w:bottom w:type="dxa" w:w="90"/>
              <w:right w:type="dxa" w:w="180"/>
            </w:tcMar>
          </w:tcPr>
          <w:p>
            <w:r>
              <w:rPr>
                <w:rFonts w:ascii="Calibri" w:cs="Calibri" w:eastAsia="Calibri" w:hAnsi="Calibri"/>
                <w:b/>
                <w:bCs/>
                <w:caps/>
                <w:color w:val="FFFFFF"/>
                <w:sz w:val="20"/>
                <w:szCs w:val="20"/>
              </w:rPr>
              <w:t xml:space="preserve">04  —  Régions, Salaires &amp; Hébergement Détaillé</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Suisse présente des disparités régionales importantes. Choisissez votre région selon votre secteur, votre salaire cible et votre budget logement.</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1500"/>
        <w:gridCol w:w="1500"/>
        <w:gridCol w:w="1500"/>
        <w:gridCol w:w="1718"/>
      </w:tblGrid>
      <w:tr>
        <w:tc>
          <w:tcPr>
            <w:tcW w:type="auto" w:w="17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Région</w:t>
            </w:r>
          </w:p>
        </w:tc>
        <w:tc>
          <w:tcPr>
            <w:tcW w:type="auto" w:w="15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Secteur phare</w:t>
            </w:r>
          </w:p>
        </w:tc>
        <w:tc>
          <w:tcPr>
            <w:tcW w:type="auto" w:w="15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Salaire moyen</w:t>
            </w:r>
          </w:p>
        </w:tc>
        <w:tc>
          <w:tcPr>
            <w:tcW w:type="auto" w:w="15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Loyer studio/mois</w:t>
            </w:r>
          </w:p>
        </w:tc>
        <w:tc>
          <w:tcPr>
            <w:tcW w:type="auto" w:w="1500"/>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Coût vie/mois</w:t>
            </w:r>
          </w:p>
        </w:tc>
        <w:tc>
          <w:tcPr>
            <w:tcW w:type="auto" w:w="1718"/>
            <w:tcBorders>
              <w:top w:val="single" w:color="FFAAAA" w:sz="1"/>
              <w:left w:val="single" w:color="FFAAAA" w:sz="1"/>
              <w:bottom w:val="single" w:color="FFAAAA" w:sz="1"/>
              <w:right w:val="single" w:color="FFAAAA" w:sz="1"/>
            </w:tcBorders>
            <w:shd w:fill="333333" w:val="clear"/>
            <w:tcMar>
              <w:top w:type="dxa" w:w="75"/>
              <w:left w:type="dxa" w:w="85"/>
              <w:bottom w:type="dxa" w:w="75"/>
              <w:right w:type="dxa" w:w="85"/>
            </w:tcMar>
          </w:tcPr>
          <w:p>
            <w:r>
              <w:rPr>
                <w:rFonts w:ascii="Calibri" w:cs="Calibri" w:eastAsia="Calibri" w:hAnsi="Calibri"/>
                <w:b/>
                <w:bCs/>
                <w:color w:val="FFFFFF"/>
                <w:sz w:val="16"/>
                <w:szCs w:val="16"/>
              </w:rPr>
              <w:t xml:space="preserve">Villes clés</w:t>
            </w:r>
          </w:p>
        </w:tc>
      </w:tr>
      <w:tr>
        <w:tc>
          <w:tcPr>
            <w:tcW w:type="auto" w:w="1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Zurich (Alémanique)</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Finance, IT, Pharma, Assurance</w:t>
            </w:r>
          </w:p>
        </w:tc>
        <w:tc>
          <w:tcPr>
            <w:tcW w:type="auto" w:w="15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8 000–18 000 CHF</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CC0000"/>
                <w:sz w:val="14"/>
                <w:szCs w:val="14"/>
              </w:rPr>
              <w:t xml:space="preserve">2 000–4 000 CHF</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3 500–6 000 CHF</w:t>
            </w:r>
          </w:p>
        </w:tc>
        <w:tc>
          <w:tcPr>
            <w:tcW w:type="auto" w:w="1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Zurich, Bâle, Winterthour</w:t>
            </w:r>
          </w:p>
        </w:tc>
      </w:tr>
      <w:tr>
        <w:tc>
          <w:tcPr>
            <w:tcW w:type="auto" w:w="1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Genève (Romande FR)</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Diplomatie, Finance, Luxe, ONU</w:t>
            </w:r>
          </w:p>
        </w:tc>
        <w:tc>
          <w:tcPr>
            <w:tcW w:type="auto" w:w="15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7 000–15 000 CHF</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CC0000"/>
                <w:sz w:val="14"/>
                <w:szCs w:val="14"/>
              </w:rPr>
              <w:t xml:space="preserve">1 800–3 500 CHF</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3 000–5 500 CHF</w:t>
            </w:r>
          </w:p>
        </w:tc>
        <w:tc>
          <w:tcPr>
            <w:tcW w:type="auto" w:w="1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Genève, Lausanne, Nyon</w:t>
            </w:r>
          </w:p>
        </w:tc>
      </w:tr>
      <w:tr>
        <w:tc>
          <w:tcPr>
            <w:tcW w:type="auto" w:w="1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Berne (Bilingue)</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Administration fédérale, IT</w:t>
            </w:r>
          </w:p>
        </w:tc>
        <w:tc>
          <w:tcPr>
            <w:tcW w:type="auto" w:w="15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6 000–10 000 CHF</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CC0000"/>
                <w:sz w:val="14"/>
                <w:szCs w:val="14"/>
              </w:rPr>
              <w:t xml:space="preserve">1 500–2 800 CHF</w:t>
            </w:r>
          </w:p>
        </w:tc>
        <w:tc>
          <w:tcPr>
            <w:tcW w:type="auto" w:w="15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2 800–4 500 CHF</w:t>
            </w:r>
          </w:p>
        </w:tc>
        <w:tc>
          <w:tcPr>
            <w:tcW w:type="auto" w:w="1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Berne, Bienne, Thoune</w:t>
            </w:r>
          </w:p>
        </w:tc>
      </w:tr>
      <w:tr>
        <w:tc>
          <w:tcPr>
            <w:tcW w:type="auto" w:w="1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Valais / Vaud</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Agriculture, Tourisme, Vignobles</w:t>
            </w:r>
          </w:p>
        </w:tc>
        <w:tc>
          <w:tcPr>
            <w:tcW w:type="auto" w:w="15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4 500–8 000 CHF</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CC0000"/>
                <w:sz w:val="14"/>
                <w:szCs w:val="14"/>
              </w:rPr>
              <w:t xml:space="preserve">1 200–2 000 CHF</w:t>
            </w:r>
          </w:p>
        </w:tc>
        <w:tc>
          <w:tcPr>
            <w:tcW w:type="auto" w:w="15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4"/>
                <w:szCs w:val="14"/>
              </w:rPr>
              <w:t xml:space="preserve">2 000–3 500 CHF</w:t>
            </w:r>
          </w:p>
        </w:tc>
        <w:tc>
          <w:tcPr>
            <w:tcW w:type="auto" w:w="1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4"/>
                <w:szCs w:val="14"/>
              </w:rPr>
              <w:t xml:space="preserve">Sion, Sierre, Neuchâtel</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04b  —  Types de Logement &amp; Conseils Hébergement</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1600"/>
        <w:gridCol w:w="4518"/>
      </w:tblGrid>
      <w:tr>
        <w:tc>
          <w:tcPr>
            <w:tcW w:type="auto" w:w="20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Type de logement</w:t>
            </w:r>
          </w:p>
        </w:tc>
        <w:tc>
          <w:tcPr>
            <w:tcW w:type="auto" w:w="18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Coût mensuel</w:t>
            </w:r>
          </w:p>
        </w:tc>
        <w:tc>
          <w:tcPr>
            <w:tcW w:type="auto" w:w="16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Disponibilité</w:t>
            </w:r>
          </w:p>
        </w:tc>
        <w:tc>
          <w:tcPr>
            <w:tcW w:type="auto" w:w="4518"/>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Conseils pratiques</w:t>
            </w:r>
          </w:p>
        </w:tc>
      </w:tr>
      <w:tr>
        <w:tc>
          <w:tcPr>
            <w:tcW w:type="auto" w:w="20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Studio meublé</w:t>
            </w:r>
          </w:p>
        </w:tc>
        <w:tc>
          <w:tcPr>
            <w:tcW w:type="auto" w:w="18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2 000–4 000 CHF Zurich/Genève / 1 200–2 000 CHF Valais</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Élevée</w:t>
            </w:r>
          </w:p>
        </w:tc>
        <w:tc>
          <w:tcPr>
            <w:tcW w:type="auto" w:w="45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Idéal 1ère installation. Chercher via Homegate.ch, ImmoScout24.ch, Flatfox.ch, WGZimmer.ch</w:t>
            </w:r>
          </w:p>
        </w:tc>
      </w:tr>
      <w:tr>
        <w:tc>
          <w:tcPr>
            <w:tcW w:type="auto" w:w="2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Colocation</w:t>
            </w:r>
          </w:p>
        </w:tc>
        <w:tc>
          <w:tcPr>
            <w:tcW w:type="auto" w:w="18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800–1 500 CHF/mois chambre</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Très haute</w:t>
            </w:r>
          </w:p>
        </w:tc>
        <w:tc>
          <w:tcPr>
            <w:tcW w:type="auto" w:w="45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Option la plus économique. Réseau diaspora africaine recommandé.</w:t>
            </w:r>
          </w:p>
        </w:tc>
      </w:tr>
      <w:tr>
        <w:tc>
          <w:tcPr>
            <w:tcW w:type="auto" w:w="20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Résidence universitaire</w:t>
            </w:r>
          </w:p>
        </w:tc>
        <w:tc>
          <w:tcPr>
            <w:tcW w:type="auto" w:w="18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700–1 200 CHF/mois (EPFL/ETH/UNIGE — inscription préalable)</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Limitée</w:t>
            </w:r>
          </w:p>
        </w:tc>
        <w:tc>
          <w:tcPr>
            <w:tcW w:type="auto" w:w="45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Inscription 3-6 mois à l'avance obligatoire.</w:t>
            </w:r>
          </w:p>
        </w:tc>
      </w:tr>
      <w:tr>
        <w:tc>
          <w:tcPr>
            <w:tcW w:type="auto" w:w="2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Hôtel / Airbnb (1ères semaines)</w:t>
            </w:r>
          </w:p>
        </w:tc>
        <w:tc>
          <w:tcPr>
            <w:tcW w:type="auto" w:w="18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150–400 CHF/nuit (Ibis, B&amp;B Hotels, auberges SJH)</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Disponible</w:t>
            </w:r>
          </w:p>
        </w:tc>
        <w:tc>
          <w:tcPr>
            <w:tcW w:type="auto" w:w="45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Max 2 semaines. Airbnb longue durée = moins cher que l'hôtel.</w:t>
            </w:r>
          </w:p>
        </w:tc>
      </w:tr>
      <w:tr>
        <w:tc>
          <w:tcPr>
            <w:tcW w:type="auto" w:w="20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 Logement fourni employeur</w:t>
            </w:r>
          </w:p>
        </w:tc>
        <w:tc>
          <w:tcPr>
            <w:tcW w:type="auto" w:w="18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Gratuit ou déduit sal.</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4A6080"/>
                <w:sz w:val="16"/>
                <w:szCs w:val="16"/>
              </w:rPr>
              <w:t xml:space="preserve">Selon offre</w:t>
            </w:r>
          </w:p>
        </w:tc>
        <w:tc>
          <w:tcPr>
            <w:tcW w:type="auto" w:w="45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6"/>
                <w:szCs w:val="16"/>
              </w:rPr>
              <w:t xml:space="preserve">Fréquent dans agriculture, hôtellerie, BTP. Demandez dès le départ.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C0000"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FFE8E8"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Suisse est la destination la plus chère — mais les salaires compensent largement. Stratégie économique : habiter à Annemasse en France (10 min de Genève) ou à Schaffhouse en Allemagne (30 min de Zurich) — loyer 3 fois moins cher tout en travaillant en Suisse. Des dizaines de milliers de frontaliers pratiquent cette stratégie au quotidien.</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05  —  Procédure Complète — 8 Étapes Détaillées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01</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Analyse de profil &amp; stratégie personnalisée</w:t>
            </w:r>
          </w:p>
          <w:p>
            <w:pPr>
              <w:spacing w:after="0" w:before="0"/>
            </w:pPr>
            <w:r>
              <w:rPr>
                <w:rFonts w:ascii="Calibri" w:cs="Calibri" w:eastAsia="Calibri" w:hAnsi="Calibri"/>
                <w:i/>
                <w:iCs/>
                <w:color w:val="4A6080"/>
                <w:sz w:val="16"/>
                <w:szCs w:val="16"/>
              </w:rPr>
              <w:t xml:space="preserve">3M Travel — Consultation gratuite &amp; sans engagement</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Évaluation complète de votre dossier professionnel : formation, expérience, secteur, langue, situation familiale. Identification du pays + secteur + type de permis optimal.</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Pour les métiers réglementés : vérification préalable des conditions de reconnaissance de diplôme auprès de l'autorité compétente. Délai anticipé dès cette phase.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Rapport d'orientation écrit remis sous 48h : secteur recommandé, région, type de permis, délai estimé, budget prévisionnel personnalisé.</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Documents requis : CV Europass • copies diplômes • certificats de travail + lettres de référence • passeport valide • casier judiciaire.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 Consultation 100% gratuite — Aucun engagement financier avant signature du mandat.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02</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Recherche d'employeur &amp; obtention du contrat</w:t>
            </w:r>
          </w:p>
          <w:p>
            <w:pPr>
              <w:spacing w:after="0" w:before="0"/>
            </w:pPr>
            <w:r>
              <w:rPr>
                <w:rFonts w:ascii="Calibri" w:cs="Calibri" w:eastAsia="Calibri" w:hAnsi="Calibri"/>
                <w:i/>
                <w:iCs/>
                <w:color w:val="4A6080"/>
                <w:sz w:val="16"/>
                <w:szCs w:val="16"/>
              </w:rPr>
              <w:t xml:space="preserve">3M Travel + réseau partenaires employeurs locaux</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Mise en relation avec notre réseau d'employeurs partenaires vérifiés dans votre secteur et région cibles. Présentation de votre profil candidat.</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L'employeur établit un contrat de travail conforme aux conventions collectives du pays. Ce contrat est la pièce maîtresse de toute la procédure.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3M Travel valide chaque contrat avant signature : poste conforme, salaire au-dessus du minimum sectoriel, durée légale, aucune clause abusive.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Délai de recherche : 2 à 8 semaines selon secteur et période. 3M Travel vous informe à chaque étape.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ℹ 3M Travel ne propose que des employeurs vérifiés et enregistrés légalement. Aucun contrat fantôme ni recruteur frauduleux dans notre réseau.</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03</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Constitution du dossier de permis de travail</w:t>
            </w:r>
          </w:p>
          <w:p>
            <w:pPr>
              <w:spacing w:after="0" w:before="0"/>
            </w:pPr>
            <w:r>
              <w:rPr>
                <w:rFonts w:ascii="Calibri" w:cs="Calibri" w:eastAsia="Calibri" w:hAnsi="Calibri"/>
                <w:i/>
                <w:iCs/>
                <w:color w:val="4A6080"/>
                <w:sz w:val="16"/>
                <w:szCs w:val="16"/>
              </w:rPr>
              <w:t xml:space="preserve">Candidat + 3M Travel — Étape technique et décisive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Constitution du dossier complet selon le type de permis et le pays cible. 3M Travel prépare et vérifie chaque document avant soumission.</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Documents clés : CV Europass bilingue • contrat signé • diplômes légalisés + traduction assermentée + apostille • lettres de référence • casier judiciaire apostillé + traduction • AVI • formulaires officiels.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Pour les métiers réglementés : initiation du dossier ENIC-NARIC dès cette étape. Délai reconnaissance : 8 à 16 semaines selon profession.</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3M Travel coordonne la communication entre vous et l'employeur pour les documents que ce dernier doit fournir.</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D4A017" w:sz="6"/>
              <w:bottom w:val="none" w:color="FFFFFF" w:sz="0"/>
              <w:right w:val="none" w:color="FFFFFF" w:sz="0"/>
            </w:tcBorders>
            <w:shd w:fill="FFF3CD"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 Un dossier incomplet = refus automatique. 3M Travel applique un protocole de vérification en 27 points avant chaque dépôt.</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04</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Obtention du permis de travail</w:t>
            </w:r>
          </w:p>
          <w:p>
            <w:pPr>
              <w:spacing w:after="0" w:before="0"/>
            </w:pPr>
            <w:r>
              <w:rPr>
                <w:rFonts w:ascii="Calibri" w:cs="Calibri" w:eastAsia="Calibri" w:hAnsi="Calibri"/>
                <w:i/>
                <w:iCs/>
                <w:color w:val="4A6080"/>
                <w:sz w:val="16"/>
                <w:szCs w:val="16"/>
              </w:rPr>
              <w:t xml:space="preserve">Autorités du pays cible — Délai 1 à 4 mois selon pays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Le dossier est traité par l'autorité compétente du pays cible. 3M Travel assure le suivi en temps réel et répond aux demandes complémentaires dans les délais.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En cas d'approbation : délivrance de l'autorisation ou du permis de travail — document indispensable pour la demande de visa à l'ambassade.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En cas de demande de documents supplémentaires : 3M Travel collecte et transmet pour éviter tout rejet technique ou retard.</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En cas de refus : analyse des motifs, voies de recours disponibles, orientation vers une alternative adaptée au profil.</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ℹ 3M Travel maintient des contacts réguliers avec les services d'immigration pour suivre chaque dossier et anticiper les délais.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05</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Visa long séjour Type D à l'ambassade</w:t>
            </w:r>
          </w:p>
          <w:p>
            <w:pPr>
              <w:spacing w:after="0" w:before="0"/>
            </w:pPr>
            <w:r>
              <w:rPr>
                <w:rFonts w:ascii="Calibri" w:cs="Calibri" w:eastAsia="Calibri" w:hAnsi="Calibri"/>
                <w:i/>
                <w:iCs/>
                <w:color w:val="4A6080"/>
                <w:sz w:val="16"/>
                <w:szCs w:val="16"/>
              </w:rPr>
              <w:t xml:space="preserve">Ambassade compétente à Yaoundé — Dépôt en personne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Sur présentation de l'autorisation de travail, dépôt du dossier de visa D à l'ambassade compétente à Yaoundé. Ce visa autorise l'entrée et le séjour pour travailler.</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Documents : autorisation de travail • passeport valide (6 mois min) • 2 photos biométriques • contrat signé • justificatif logement • AVI • casier judiciaire légalisé • relevés bancaires • formulaire visa D.</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Délai consulaire : 15 à 60 jours selon ambassade et saison. Frais consulaires non remboursables en cas de refus.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3M Travel vous prépare intégralement : simulation entretien, vérification cohérence dossier, lettre de motivation personnalisée.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 3M Travel dépose uniquement des dossiers complets et conformes pour maximiser le taux de succès consulaire.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06</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Arrivée, formalités &amp; titre de séjour</w:t>
            </w:r>
          </w:p>
          <w:p>
            <w:pPr>
              <w:spacing w:after="0" w:before="0"/>
            </w:pPr>
            <w:r>
              <w:rPr>
                <w:rFonts w:ascii="Calibri" w:cs="Calibri" w:eastAsia="Calibri" w:hAnsi="Calibri"/>
                <w:i/>
                <w:iCs/>
                <w:color w:val="4A6080"/>
                <w:sz w:val="16"/>
                <w:szCs w:val="16"/>
              </w:rPr>
              <w:t xml:space="preserve">Pays cible — Premières semaines — Formalités prioritaires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À l'arrivée : présentation du passeport + visa D au contrôle frontalier. Transport vers le logement préparé à l'avance. Installation dans les premières 48h.</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Formalités prioritaires : inscription à la commune • inscription sécurité sociale • ouverture compte bancaire local • obtention titre de séjour ou carte de résident.</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Affiliation santé obligatoire dans les premiers jours selon le pays cible. Indispensable pour accéder aux soins médicaux.</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3M Travel brief intégralement avant le départ sur chaque formalité et reste disponible sur WhatsApp les premiers jours.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 3M Travel fournit un guide d'arrivée personnalisé selon le pays et la ville — liste des bureaux, documents à préparer, délais à respecter.</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07</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Prise de poste &amp; intégration professionnelle</w:t>
            </w:r>
          </w:p>
          <w:p>
            <w:pPr>
              <w:spacing w:after="0" w:before="0"/>
            </w:pPr>
            <w:r>
              <w:rPr>
                <w:rFonts w:ascii="Calibri" w:cs="Calibri" w:eastAsia="Calibri" w:hAnsi="Calibri"/>
                <w:i/>
                <w:iCs/>
                <w:color w:val="4A6080"/>
                <w:sz w:val="16"/>
                <w:szCs w:val="16"/>
              </w:rPr>
              <w:t xml:space="preserve">Employeur + Candidat — 1ère semaine de travail</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1ère semaine : prise de poste, présentation équipe, formation initiale, signature feuilles de présence, accès aux systèmes de travail.</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Droits du travailleur selon pays : congés payés (20–30 jours/an), protection chômage dès le 1er jour, santé et retraite cotisées automatiquement.</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Renouvellement titre de séjour : à demander 2 à 3 mois avant expiration. Après renouvellement, changement d'employeur possible dans la plupart des pays.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Réseau professionnel : rejoindre la diaspora camerounaise locale, les associations africaines, les réseaux sectoriels — essentiel pour l'intégration.</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CC0000" w:sz="6"/>
              <w:bottom w:val="none" w:color="FFFFFF" w:sz="0"/>
              <w:right w:val="none" w:color="FFFFFF" w:sz="0"/>
            </w:tcBorders>
            <w:shd w:fill="FFE8E8"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ℹ La communauté camerounaise est présente dans tous les pays Schengen — associations, groupes WhatsApp, réseaux d'entraide professionnels actifs.</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520"/>
        <w:gridCol w:w="9398"/>
      </w:tblGrid>
      <w:tr>
        <w:tc>
          <w:tcPr>
            <w:tcW w:type="auto" w:w="520"/>
            <w:tcBorders>
              <w:top w:val="none" w:color="FFFFFF" w:sz="0"/>
              <w:left w:val="none" w:color="FFFFFF" w:sz="0"/>
              <w:bottom w:val="none" w:color="FFFFFF" w:sz="0"/>
              <w:right w:val="none" w:color="FFFFFF" w:sz="0"/>
            </w:tcBorders>
            <w:shd w:fill="CC0000" w:val="clear"/>
            <w:tcMar>
              <w:top w:type="dxa" w:w="80"/>
              <w:left w:type="dxa" w:w="60"/>
              <w:bottom w:type="dxa" w:w="80"/>
              <w:right w:type="dxa" w:w="60"/>
            </w:tcMar>
            <w:vAlign w:val="center"/>
          </w:tcPr>
          <w:p>
            <w:pPr>
              <w:jc w:val="center"/>
            </w:pPr>
            <w:r>
              <w:rPr>
                <w:rFonts w:ascii="Calibri" w:cs="Calibri" w:eastAsia="Calibri" w:hAnsi="Calibri"/>
                <w:b/>
                <w:bCs/>
                <w:color w:val="FFFFFF"/>
                <w:sz w:val="36"/>
                <w:szCs w:val="36"/>
              </w:rPr>
              <w:t xml:space="preserve">08</w:t>
            </w:r>
          </w:p>
        </w:tc>
        <w:tc>
          <w:tcPr>
            <w:tcW w:type="auto" w:w="9398"/>
            <w:tcBorders>
              <w:top w:val="none" w:color="FFFFFF" w:sz="0"/>
              <w:left w:val="single" w:color="333333" w:sz="6"/>
              <w:bottom w:val="none" w:color="FFFFFF" w:sz="0"/>
              <w:right w:val="none" w:color="FFFFFF" w:sz="0"/>
            </w:tcBorders>
            <w:shd w:fill="F4F7FC" w:val="clear"/>
            <w:tcMar>
              <w:top w:type="dxa" w:w="80"/>
              <w:left w:type="dxa" w:w="200"/>
              <w:bottom w:type="dxa" w:w="80"/>
              <w:right w:type="dxa" w:w="140"/>
            </w:tcMar>
          </w:tcPr>
          <w:p>
            <w:pPr>
              <w:spacing w:after="40" w:before="0"/>
            </w:pPr>
            <w:r>
              <w:rPr>
                <w:rFonts w:ascii="Calibri" w:cs="Calibri" w:eastAsia="Calibri" w:hAnsi="Calibri"/>
                <w:b/>
                <w:bCs/>
                <w:color w:val="CC0000"/>
                <w:sz w:val="22"/>
                <w:szCs w:val="22"/>
              </w:rPr>
              <w:t xml:space="preserve">Résidence permanente &amp; citoyenneté européenne</w:t>
            </w:r>
          </w:p>
          <w:p>
            <w:pPr>
              <w:spacing w:after="0" w:before="0"/>
            </w:pPr>
            <w:r>
              <w:rPr>
                <w:rFonts w:ascii="Calibri" w:cs="Calibri" w:eastAsia="Calibri" w:hAnsi="Calibri"/>
                <w:i/>
                <w:iCs/>
                <w:color w:val="4A6080"/>
                <w:sz w:val="16"/>
                <w:szCs w:val="16"/>
              </w:rPr>
              <w:t xml:space="preserve">Parcours long terme — 5 à 10 ans selon le pays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Résidence permanente : après 5 ans de résidence légale continue dans la plupart des pays Schengen. Liberté totale de travail dans tout l'espace EU/Schengen.</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EU Blue Card → mobilité UE : après 18 mois avec une Blue Card, possibilité de demander une Blue Card dans un autre État membre sans reprendre la procédure.</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Citoyenneté européenne : accessible entre 5 et 10 ans selon le pays. Passeport européen = liberté de voyage dans 186+ pays sans visa.</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none" w:color="FFFFFF" w:sz="0"/>
              <w:left w:val="single" w:color="333333" w:sz="6"/>
              <w:bottom w:val="none" w:color="FFFFFF" w:sz="0"/>
              <w:right w:val="none" w:color="FFFFFF" w:sz="0"/>
            </w:tcBorders>
            <w:shd w:fill="FFFFFF" w:val="clear"/>
            <w:tcMar>
              <w:top w:type="dxa" w:w="55"/>
              <w:left w:type="dxa" w:w="200"/>
              <w:bottom w:type="dxa" w:w="55"/>
              <w:right w:type="dxa" w:w="140"/>
            </w:tcMar>
          </w:tcPr>
          <w:p>
            <w:pPr>
              <w:jc w:val="both"/>
            </w:pPr>
            <w:r>
              <w:rPr>
                <w:rFonts w:ascii="Calibri" w:cs="Calibri" w:eastAsia="Calibri" w:hAnsi="Calibri"/>
                <w:b/>
                <w:bCs/>
                <w:color w:val="333333"/>
                <w:sz w:val="18"/>
                <w:szCs w:val="18"/>
              </w:rPr>
              <w:t xml:space="preserve">▸  </w:t>
            </w:r>
            <w:r>
              <w:rPr>
                <w:rFonts w:ascii="Calibri" w:cs="Calibri" w:eastAsia="Calibri" w:hAnsi="Calibri"/>
                <w:color w:val="131E2D"/>
                <w:sz w:val="18"/>
                <w:szCs w:val="18"/>
              </w:rPr>
              <w:t xml:space="preserve">Regroupement familial : possible dès l'obtention du permis de travail dans la plupart des pays — conjoint, enfants mineurs.</w:t>
            </w:r>
          </w:p>
        </w:tc>
      </w:tr>
      <w:tr>
        <w:tc>
          <w:tcPr>
            <w:tcW w:type="auto" w:w="520"/>
            <w:tcBorders>
              <w:top w:val="none" w:color="FFFFFF" w:sz="0"/>
              <w:left w:val="none" w:color="FFFFFF" w:sz="0"/>
              <w:bottom w:val="none" w:color="FFFFFF" w:sz="0"/>
              <w:right w:val="none" w:color="FFFFFF" w:sz="0"/>
            </w:tcBorders>
            <w:shd w:fill="FFE8E8" w:val="clear"/>
          </w:tcPr>
          <w:p>
            <w:r>
              <w:t xml:space="preserve"/>
            </w:r>
          </w:p>
        </w:tc>
        <w:tc>
          <w:tcPr>
            <w:tcW w:type="auto" w:w="9398"/>
            <w:tcBorders>
              <w:top w:val="single" w:color="333333" w:sz="2"/>
              <w:left w:val="single" w:color="1D7A45" w:sz="6"/>
              <w:bottom w:val="none" w:color="FFFFFF" w:sz="0"/>
              <w:right w:val="none" w:color="FFFFFF" w:sz="0"/>
            </w:tcBorders>
            <w:shd w:fill="E5F3EA" w:val="clear"/>
            <w:tcMar>
              <w:top w:type="dxa" w:w="60"/>
              <w:left w:type="dxa" w:w="200"/>
              <w:bottom w:type="dxa" w:w="60"/>
              <w:right w:type="dxa" w:w="140"/>
            </w:tcMar>
          </w:tcPr>
          <w:p>
            <w:pPr>
              <w:spacing w:after="0" w:before="0"/>
            </w:pPr>
            <w:r>
              <w:rPr>
                <w:rFonts w:ascii="Calibri" w:cs="Calibri" w:eastAsia="Calibri" w:hAnsi="Calibri"/>
                <w:color w:val="CC0000"/>
                <w:sz w:val="17"/>
                <w:szCs w:val="17"/>
              </w:rPr>
              <w:t xml:space="preserve">🌟 Objectif final : résidence permanente puis citoyenneté européenne. Un Camerounais naturalisé européen devient citoyen de 27 pays simultanément.</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1D7A45" w:val="clear"/>
            <w:tcMar>
              <w:top w:type="dxa" w:w="90"/>
              <w:left w:type="dxa" w:w="220"/>
              <w:bottom w:type="dxa" w:w="90"/>
              <w:right w:type="dxa" w:w="180"/>
            </w:tcMar>
          </w:tcPr>
          <w:p>
            <w:r>
              <w:rPr>
                <w:rFonts w:ascii="Calibri" w:cs="Calibri" w:eastAsia="Calibri" w:hAnsi="Calibri"/>
                <w:b/>
                <w:bCs/>
                <w:caps/>
                <w:color w:val="FFFFFF"/>
                <w:sz w:val="20"/>
                <w:szCs w:val="20"/>
              </w:rPr>
              <w:t xml:space="preserve">06  —  Opportunités Spécifiques pour les Camerounais</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Opportunités sélectionnées pour leur adéquation avec les profils camerounais et la pénurie réelle en Suisse. Le bilinguisme FR/EN et la formation reconnue sont des atouts décisifs.</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00"/>
        <w:gridCol w:w="2200"/>
        <w:gridCol w:w="3200"/>
        <w:gridCol w:w="4218"/>
      </w:tblGrid>
      <w:tr>
        <w:tc>
          <w:tcPr>
            <w:tcW w:type="auto" w:w="300"/>
            <w:tcBorders>
              <w:top w:val="single" w:color="FFAAAA" w:sz="1"/>
              <w:left w:val="single" w:color="FFAAAA" w:sz="1"/>
              <w:bottom w:val="single" w:color="FFAAAA" w:sz="1"/>
              <w:right w:val="single" w:color="FFAAAA"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
            </w:r>
          </w:p>
        </w:tc>
        <w:tc>
          <w:tcPr>
            <w:tcW w:type="auto" w:w="2200"/>
            <w:tcBorders>
              <w:top w:val="single" w:color="FFAAAA" w:sz="1"/>
              <w:left w:val="single" w:color="FFAAAA" w:sz="1"/>
              <w:bottom w:val="single" w:color="FFAAAA" w:sz="1"/>
              <w:right w:val="single" w:color="FFAAAA"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Opportunité</w:t>
            </w:r>
          </w:p>
        </w:tc>
        <w:tc>
          <w:tcPr>
            <w:tcW w:type="auto" w:w="3200"/>
            <w:tcBorders>
              <w:top w:val="single" w:color="FFAAAA" w:sz="1"/>
              <w:left w:val="single" w:color="FFAAAA" w:sz="1"/>
              <w:bottom w:val="single" w:color="FFAAAA" w:sz="1"/>
              <w:right w:val="single" w:color="FFAAAA"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Pourquoi les Camerounais sont avantagés</w:t>
            </w:r>
          </w:p>
        </w:tc>
        <w:tc>
          <w:tcPr>
            <w:tcW w:type="auto" w:w="4218"/>
            <w:tcBorders>
              <w:top w:val="single" w:color="FFAAAA" w:sz="1"/>
              <w:left w:val="single" w:color="FFAAAA" w:sz="1"/>
              <w:bottom w:val="single" w:color="FFAAAA" w:sz="1"/>
              <w:right w:val="single" w:color="FFAAAA" w:sz="1"/>
            </w:tcBorders>
            <w:shd w:fill="1D7A45" w:val="clear"/>
            <w:tcMar>
              <w:top w:type="dxa" w:w="75"/>
              <w:left w:type="dxa" w:w="85"/>
              <w:bottom w:type="dxa" w:w="75"/>
              <w:right w:type="dxa" w:w="85"/>
            </w:tcMar>
          </w:tcPr>
          <w:p>
            <w:r>
              <w:rPr>
                <w:rFonts w:ascii="Calibri" w:cs="Calibri" w:eastAsia="Calibri" w:hAnsi="Calibri"/>
                <w:b/>
                <w:bCs/>
                <w:color w:val="FFFFFF"/>
                <w:sz w:val="16"/>
                <w:szCs w:val="16"/>
              </w:rPr>
              <w:t xml:space="preserve">Comment en bénéficier avec 3M Travel</w:t>
            </w:r>
          </w:p>
        </w:tc>
      </w:tr>
      <w:tr>
        <w:tc>
          <w:tcPr>
            <w:tcW w:type="auto" w:w="300"/>
            <w:tcBorders>
              <w:top w:val="single" w:color="FFAAAA" w:sz="1"/>
              <w:left w:val="single" w:color="FFAAAA" w:sz="1"/>
              <w:bottom w:val="single" w:color="FFAAAA" w:sz="1"/>
              <w:right w:val="single" w:color="FFAAAA"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Médecin spécialiste — Suisse romande</w:t>
            </w:r>
          </w:p>
        </w:tc>
        <w:tc>
          <w:tcPr>
            <w:tcW w:type="auto" w:w="3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Pénurie tous cantons FR. HUG Genève et CHUV Lausanne recrutent. Permis allégé. Salaire 10 000–15 000 CHF.</w:t>
            </w:r>
          </w:p>
        </w:tc>
        <w:tc>
          <w:tcPr>
            <w:tcW w:type="auto" w:w="42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Reconnaissance FMH + spécialité + 3M Travel coordination OCPM Genève ou SPOP Vaud.</w:t>
            </w:r>
          </w:p>
        </w:tc>
      </w:tr>
      <w:tr>
        <w:tc>
          <w:tcPr>
            <w:tcW w:type="auto" w:w="300"/>
            <w:tcBorders>
              <w:top w:val="single" w:color="FFAAAA" w:sz="1"/>
              <w:left w:val="single" w:color="FFAAAA" w:sz="1"/>
              <w:bottom w:val="single" w:color="FFAAAA" w:sz="1"/>
              <w:right w:val="single" w:color="FFAAAA"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Gestionnaire fortune / Private banker</w:t>
            </w:r>
          </w:p>
        </w:tc>
        <w:tc>
          <w:tcPr>
            <w:tcW w:type="auto" w:w="3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Genève capitale mondiale private banking. CFA + FR/EN = profil ultra-rare. Salaire 10 000–20 000 CHF.</w:t>
            </w:r>
          </w:p>
        </w:tc>
        <w:tc>
          <w:tcPr>
            <w:tcW w:type="auto" w:w="42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CFA + Master finance + 3M Travel partenaires banques privées genevoises et zurichoises.</w:t>
            </w:r>
          </w:p>
        </w:tc>
      </w:tr>
      <w:tr>
        <w:tc>
          <w:tcPr>
            <w:tcW w:type="auto" w:w="300"/>
            <w:tcBorders>
              <w:top w:val="single" w:color="FFAAAA" w:sz="1"/>
              <w:left w:val="single" w:color="FFAAAA" w:sz="1"/>
              <w:bottom w:val="single" w:color="FFAAAA" w:sz="1"/>
              <w:right w:val="single" w:color="FFAAAA"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Chercheur post-doctorant EPFL/ETH</w:t>
            </w:r>
          </w:p>
        </w:tc>
        <w:tc>
          <w:tcPr>
            <w:tcW w:type="auto" w:w="3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EPFL et ETH recrutent mondialement. Anglais 100%. Pas de quota. Salaire 5 500–7 000 CHF.</w:t>
            </w:r>
          </w:p>
        </w:tc>
        <w:tc>
          <w:tcPr>
            <w:tcW w:type="auto" w:w="42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Publication académique + recommandation directeur labo + 3M Travel visa chercheur sans quota.</w:t>
            </w:r>
          </w:p>
        </w:tc>
      </w:tr>
      <w:tr>
        <w:tc>
          <w:tcPr>
            <w:tcW w:type="auto" w:w="300"/>
            <w:tcBorders>
              <w:top w:val="single" w:color="FFAAAA" w:sz="1"/>
              <w:left w:val="single" w:color="FFAAAA" w:sz="1"/>
              <w:bottom w:val="single" w:color="FFAAAA" w:sz="1"/>
              <w:right w:val="single" w:color="FFAAAA"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Fonctionnaire international ONU/OMS</w:t>
            </w:r>
          </w:p>
        </w:tc>
        <w:tc>
          <w:tcPr>
            <w:tcW w:type="auto" w:w="3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Genève = 200+ organisations. FR/EN requis. Salaire hors taxe. CICR recrute régulièrement.</w:t>
            </w:r>
          </w:p>
        </w:tc>
        <w:tc>
          <w:tcPr>
            <w:tcW w:type="auto" w:w="42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Concours ONU/OMS en ligne + dossier + 3M Travel accompagnement visa fonctionnaire international.</w:t>
            </w:r>
          </w:p>
        </w:tc>
      </w:tr>
      <w:tr>
        <w:tc>
          <w:tcPr>
            <w:tcW w:type="auto" w:w="300"/>
            <w:tcBorders>
              <w:top w:val="single" w:color="FFAAAA" w:sz="1"/>
              <w:left w:val="single" w:color="FFAAAA" w:sz="1"/>
              <w:bottom w:val="single" w:color="FFAAAA" w:sz="1"/>
              <w:right w:val="single" w:color="FFAAAA"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Ingénieur logiciel — Swiss tech</w:t>
            </w:r>
          </w:p>
        </w:tc>
        <w:tc>
          <w:tcPr>
            <w:tcW w:type="auto" w:w="3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Google, Palantir, Avaloq, UBS tech à Zurich. Anglais 100%. Salaire 9 000–14 000 CHF.</w:t>
            </w:r>
          </w:p>
        </w:tc>
        <w:tc>
          <w:tcPr>
            <w:tcW w:type="auto" w:w="42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Portfolio + IELTS + 3M Travel partenaires entreprises tech Zurich et Genève.</w:t>
            </w:r>
          </w:p>
        </w:tc>
      </w:tr>
      <w:tr>
        <w:tc>
          <w:tcPr>
            <w:tcW w:type="auto" w:w="300"/>
            <w:tcBorders>
              <w:top w:val="single" w:color="FFAAAA" w:sz="1"/>
              <w:left w:val="single" w:color="FFAAAA" w:sz="1"/>
              <w:bottom w:val="single" w:color="FFAAAA" w:sz="1"/>
              <w:right w:val="single" w:color="FFAAAA"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Ouvrier viticole / Saisonnier agricole</w:t>
            </w:r>
          </w:p>
        </w:tc>
        <w:tc>
          <w:tcPr>
            <w:tcW w:type="auto" w:w="3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Valais, Vaud, Neuchâtel : vendanges + viticulture. Quota agricole plus accessible. Contrats 3–6 mois.</w:t>
            </w:r>
          </w:p>
        </w:tc>
        <w:tc>
          <w:tcPr>
            <w:tcW w:type="auto" w:w="42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Contrat employeur viticole + visa saisonnier + 3M Travel coordonne quota cantonal agricole.</w:t>
            </w:r>
          </w:p>
        </w:tc>
      </w:tr>
      <w:tr>
        <w:tc>
          <w:tcPr>
            <w:tcW w:type="auto" w:w="300"/>
            <w:tcBorders>
              <w:top w:val="single" w:color="FFAAAA" w:sz="1"/>
              <w:left w:val="single" w:color="FFAAAA" w:sz="1"/>
              <w:bottom w:val="single" w:color="FFAAAA" w:sz="1"/>
              <w:right w:val="single" w:color="FFAAAA" w:sz="1"/>
            </w:tcBorders>
            <w:shd w:fill="E5F3EA"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Concierge / Réceptionniste luxe</w:t>
            </w:r>
          </w:p>
        </w:tc>
        <w:tc>
          <w:tcPr>
            <w:tcW w:type="auto" w:w="32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Badrutt's Palace, Four Seasons. FR/EN natif = profil exceptionnel. Salaire 4 500–6 500 CHF.</w:t>
            </w:r>
          </w:p>
        </w:tc>
        <w:tc>
          <w:tcPr>
            <w:tcW w:type="auto" w:w="42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Expérience hôtellerie + langue + 3M Travel partenaires hôtels 5* Genève, Zurich, Zermatt.</w:t>
            </w:r>
          </w:p>
        </w:tc>
      </w:tr>
      <w:tr>
        <w:tc>
          <w:tcPr>
            <w:tcW w:type="auto" w:w="300"/>
            <w:tcBorders>
              <w:top w:val="single" w:color="FFAAAA" w:sz="1"/>
              <w:left w:val="single" w:color="FFAAAA" w:sz="1"/>
              <w:bottom w:val="single" w:color="FFAAAA" w:sz="1"/>
              <w:right w:val="single" w:color="FFAAAA" w:sz="1"/>
            </w:tcBorders>
            <w:shd w:fill="FFFFFF" w:val="clear"/>
            <w:tcMar>
              <w:top w:type="dxa" w:w="65"/>
              <w:left w:type="dxa" w:w="85"/>
              <w:bottom w:type="dxa" w:w="65"/>
              <w:right w:type="dxa" w:w="85"/>
            </w:tcMar>
          </w:tcPr>
          <w:p>
            <w:pPr>
              <w:jc w:val="center"/>
            </w:pPr>
            <w:r>
              <w:rPr>
                <w:rFonts w:ascii="Calibri" w:cs="Calibri" w:eastAsia="Calibri" w:hAnsi="Calibri"/>
                <w:b w:val="false"/>
                <w:bCs w:val="false"/>
                <w:i w:val="false"/>
                <w:iCs w:val="false"/>
                <w:color w:val="131E2D"/>
                <w:sz w:val="20"/>
                <w:szCs w:val="20"/>
              </w:rPr>
              <w:t xml:space="preserve">💊</w:t>
            </w:r>
          </w:p>
        </w:tc>
        <w:tc>
          <w:tcPr>
            <w:tcW w:type="auto" w:w="2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Technicien labo / Assistant chercheur</w:t>
            </w:r>
          </w:p>
        </w:tc>
        <w:tc>
          <w:tcPr>
            <w:tcW w:type="auto" w:w="32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31E2D"/>
                <w:sz w:val="15"/>
                <w:szCs w:val="15"/>
              </w:rPr>
              <w:t xml:space="preserve">Novartis, Roche, Lonza Biologics recrutent. Formation lab reconnue. Salaire 5 000–8 000 CHF. Bâle.</w:t>
            </w:r>
          </w:p>
        </w:tc>
        <w:tc>
          <w:tcPr>
            <w:tcW w:type="auto" w:w="42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val="false"/>
                <w:iCs w:val="false"/>
                <w:color w:val="1A5C30"/>
                <w:sz w:val="15"/>
                <w:szCs w:val="15"/>
              </w:rPr>
              <w:t xml:space="preserve">Formation analyse + expérience labo + 3M Travel partenaires industries pharmaceutiques Bâle.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8A400"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FFFBE6" w:val="clear"/>
            <w:tcMar>
              <w:top w:type="dxa" w:w="70"/>
              <w:left w:type="dxa" w:w="160"/>
              <w:bottom w:type="dxa" w:w="70"/>
              <w:right w:type="dxa" w:w="140"/>
            </w:tcMar>
          </w:tcPr>
          <w:p>
            <w:pPr>
              <w:jc w:val="both"/>
            </w:pPr>
            <w:r>
              <w:rPr>
                <w:rFonts w:ascii="Calibri" w:cs="Calibri" w:eastAsia="Calibri" w:hAnsi="Calibri"/>
                <w:color w:val="131E2D"/>
                <w:sz w:val="17"/>
                <w:szCs w:val="17"/>
              </w:rPr>
              <w:t xml:space="preserve">OPPORTUNITÉ PREMIUM SUISSE : 🏥 Médecin spécialiste en Suisse Romande. Pénurie critique dans tous les cantons. HUG Genève et CHUV Lausanne recrutent directement à l'étranger. Salaire net 10 000–15 000 CHF/mois (6,5 à 9,8 millions FCFA). Procédure permis accélérée pour médecins hors-UE.</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333333" w:val="clear"/>
            <w:tcMar>
              <w:top w:type="dxa" w:w="90"/>
              <w:left w:type="dxa" w:w="220"/>
              <w:bottom w:type="dxa" w:w="90"/>
              <w:right w:type="dxa" w:w="180"/>
            </w:tcMar>
          </w:tcPr>
          <w:p>
            <w:r>
              <w:rPr>
                <w:rFonts w:ascii="Calibri" w:cs="Calibri" w:eastAsia="Calibri" w:hAnsi="Calibri"/>
                <w:b/>
                <w:bCs/>
                <w:caps/>
                <w:color w:val="FFFFFF"/>
                <w:sz w:val="20"/>
                <w:szCs w:val="20"/>
              </w:rPr>
              <w:t xml:space="preserve">07  —  Budget Détaillé — À partir de 2 800 000 FCFA (Hors Vol)</w:t>
            </w:r>
          </w:p>
        </w:tc>
      </w:tr>
    </w:tbl>
    <w:p>
      <w:pPr>
        <w:spacing w:after="0" w:before="70"/>
      </w:pPr>
      <w:r>
        <w:t xml:space="preserve"/>
      </w:r>
    </w:p>
    <w:p>
      <w:pPr>
        <w:spacing w:after="40" w:before="40"/>
        <w:jc w:val="both"/>
      </w:pPr>
      <w:r>
        <w:rPr>
          <w:rFonts w:ascii="Calibri" w:cs="Calibri" w:eastAsia="Calibri" w:hAnsi="Calibri"/>
          <w:color w:val="131E2D"/>
          <w:sz w:val="19"/>
          <w:szCs w:val="19"/>
        </w:rPr>
        <w:t xml:space="preserve">Le budget varie selon votre profil. Il peut augmenter (reconnaissance diplôme, test langue) ou baisser (diplôme déjà légalisé, pas de visite médicale). Transparence totale garantie.</w:t>
      </w:r>
    </w:p>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700"/>
        <w:gridCol w:w="1900"/>
        <w:gridCol w:w="1600"/>
        <w:gridCol w:w="3718"/>
      </w:tblGrid>
      <w:tr>
        <w:tc>
          <w:tcPr>
            <w:tcW w:type="auto" w:w="27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Poste de dépense</w:t>
            </w:r>
          </w:p>
        </w:tc>
        <w:tc>
          <w:tcPr>
            <w:tcW w:type="auto" w:w="19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Montant estimé</w:t>
            </w:r>
          </w:p>
        </w:tc>
        <w:tc>
          <w:tcPr>
            <w:tcW w:type="auto" w:w="16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Obligatoire</w:t>
            </w:r>
          </w:p>
        </w:tc>
        <w:tc>
          <w:tcPr>
            <w:tcW w:type="auto" w:w="3718"/>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Détail</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Ouverture dossier (non remboursable)</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65 000 FCFA</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Dû à la signature. Création profil, analyse docs, attribution conseiller dédié.</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Analyse profil &amp; orientation</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Étude CV/diplômes/expériences. Rapport écrit sous 48h. Identification secteur + région optimale.</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Constitution dossier complet</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CV Europass bilingue, lettre motivation, mise en conformité, checklist sectorielle.</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Recherche employeur + validation contrat</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Réseau partenaires vérifiés. Validation contrat selon conventions collectives.</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Suivi procédure &amp; coordination</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Inclus</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Coordination autorités pays cible. Réponse demandes complémentaires. Brief pré-départ.</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Frais consulaires (visa D travail)</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 100 CHF / 75 000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Frais officiels ambassade. Non remboursables en cas de refus. Payables sur place.</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AVI — Assurance Voyage Internationale</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50 000 – 80 000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Couverture ≥ 30 000 € obligatoire. Valable jusqu'à affiliation sécurité sociale locale.</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Traduction assermentée diplômes</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40 000 – 100 000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15 000–30 000 F par diplôme. 1 à 3 documents. Traducteur assermenté certifié.</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Apostille / légalisation documents</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20 000 – 50 000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Sur diplômes + casier. Ministère Justice Cameroun. Délai 1–3 semaines.</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Visite médicale agréée (si requise)</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100 000 – 180 000 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Selon pays et secteur. Médecin agréé ambassade. Résultats valables 3 mois.</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Reconnaissance diplôme ENIC-NARIC</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0 – 80 000 F</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Métiers réglementés uniquement. Initié dès phase 1. Délai 8–16 semaines.</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Test de langue</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80 000 – 150 000 F</w:t>
            </w:r>
          </w:p>
        </w:tc>
        <w:tc>
          <w:tcPr>
            <w:tcW w:type="auto" w:w="16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Selon</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Français B2 (Suisse romande) ou IELTS 6.5 — 80 000–150 000 F</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1er loyer + caution logement</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300 000–900 000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Variable selon ville. Logement employeur si disponible = économie maximale.</w:t>
            </w:r>
          </w:p>
        </w:tc>
      </w:tr>
      <w:tr>
        <w:tc>
          <w:tcPr>
            <w:tcW w:type="auto" w:w="27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Frais de vie 1er mois (avant salaire)</w:t>
            </w:r>
          </w:p>
        </w:tc>
        <w:tc>
          <w:tcPr>
            <w:tcW w:type="auto" w:w="1900"/>
            <w:tcBorders>
              <w:top w:val="single" w:color="FFAAAA" w:sz="1"/>
              <w:left w:val="single" w:color="FFAAAA" w:sz="1"/>
              <w:bottom w:val="single" w:color="FFAAAA" w:sz="1"/>
              <w:right w:val="single" w:color="FFAAAA" w:sz="1"/>
            </w:tcBorders>
            <w:shd w:fill="F4F7FC" w:val="clear"/>
            <w:tcMar>
              <w:top w:type="dxa" w:w="62"/>
              <w:left w:type="dxa" w:w="85"/>
              <w:bottom w:type="dxa" w:w="62"/>
              <w:right w:type="dxa" w:w="85"/>
            </w:tcMar>
          </w:tcPr>
          <w:p>
            <w:pPr>
              <w:jc w:val="center"/>
            </w:pPr>
            <w:r>
              <w:rPr>
                <w:rFonts w:ascii="Calibri" w:cs="Calibri" w:eastAsia="Calibri" w:hAnsi="Calibri"/>
                <w:b/>
                <w:bCs/>
                <w:i w:val="false"/>
                <w:iCs w:val="false"/>
                <w:color w:val="1D7A45"/>
                <w:sz w:val="14"/>
                <w:szCs w:val="14"/>
              </w:rPr>
              <w:t xml:space="preserve">300 000–600 000 F</w:t>
            </w:r>
          </w:p>
        </w:tc>
        <w:tc>
          <w:tcPr>
            <w:tcW w:type="auto" w:w="1600"/>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center"/>
            </w:pPr>
            <w:r>
              <w:rPr>
                <w:rFonts w:ascii="Calibri" w:cs="Calibri" w:eastAsia="Calibri" w:hAnsi="Calibri"/>
                <w:b/>
                <w:bCs/>
                <w:i w:val="false"/>
                <w:iCs w:val="false"/>
                <w:color w:val="1D7A45"/>
                <w:sz w:val="16"/>
                <w:szCs w:val="16"/>
              </w:rPr>
              <w:t xml:space="preserve">Oui</w:t>
            </w:r>
          </w:p>
        </w:tc>
        <w:tc>
          <w:tcPr>
            <w:tcW w:type="auto" w:w="3718"/>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Alimentation, transport local, SIM, produits de 1ère nécessité.</w:t>
            </w:r>
          </w:p>
        </w:tc>
      </w:tr>
      <w:tr>
        <w:tc>
          <w:tcPr>
            <w:tcW w:type="auto" w:w="27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bCs/>
                <w:i w:val="false"/>
                <w:iCs w:val="false"/>
                <w:color w:val="CC0000"/>
                <w:sz w:val="15"/>
                <w:szCs w:val="15"/>
              </w:rPr>
              <w:t xml:space="preserve">✈ Billet d'avion (NON INCLUS)</w:t>
            </w:r>
          </w:p>
        </w:tc>
        <w:tc>
          <w:tcPr>
            <w:tcW w:type="auto" w:w="1900"/>
            <w:tcBorders>
              <w:top w:val="single" w:color="FFAAAA" w:sz="1"/>
              <w:left w:val="single" w:color="FFAAAA" w:sz="1"/>
              <w:bottom w:val="single" w:color="FFAAAA" w:sz="1"/>
              <w:right w:val="single" w:color="FFAAAA" w:sz="1"/>
            </w:tcBorders>
            <w:shd w:fill="FFFBE6" w:val="clear"/>
            <w:tcMar>
              <w:top w:type="dxa" w:w="62"/>
              <w:left w:type="dxa" w:w="85"/>
              <w:bottom w:type="dxa" w:w="62"/>
              <w:right w:type="dxa" w:w="85"/>
            </w:tcMar>
          </w:tcPr>
          <w:p>
            <w:pPr>
              <w:jc w:val="center"/>
            </w:pPr>
            <w:r>
              <w:rPr>
                <w:rFonts w:ascii="Calibri" w:cs="Calibri" w:eastAsia="Calibri" w:hAnsi="Calibri"/>
                <w:b/>
                <w:bCs/>
                <w:i w:val="false"/>
                <w:iCs w:val="false"/>
                <w:color w:val="E67E22"/>
                <w:sz w:val="14"/>
                <w:szCs w:val="14"/>
              </w:rPr>
              <w:t xml:space="preserve">À votre charge</w:t>
            </w:r>
          </w:p>
        </w:tc>
        <w:tc>
          <w:tcPr>
            <w:tcW w:type="auto" w:w="1600"/>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center"/>
            </w:pPr>
            <w:r>
              <w:rPr>
                <w:rFonts w:ascii="Calibri" w:cs="Calibri" w:eastAsia="Calibri" w:hAnsi="Calibri"/>
                <w:b/>
                <w:bCs/>
                <w:i w:val="false"/>
                <w:iCs w:val="false"/>
                <w:color w:val="4A6080"/>
                <w:sz w:val="16"/>
                <w:szCs w:val="16"/>
              </w:rPr>
              <w:t xml:space="preserve">—</w:t>
            </w:r>
          </w:p>
        </w:tc>
        <w:tc>
          <w:tcPr>
            <w:tcW w:type="auto" w:w="3718"/>
            <w:tcBorders>
              <w:top w:val="single" w:color="FFAAAA" w:sz="1"/>
              <w:left w:val="single" w:color="FFAAAA" w:sz="1"/>
              <w:bottom w:val="single" w:color="FFAAAA" w:sz="1"/>
              <w:right w:val="single" w:color="FFAAAA" w:sz="1"/>
            </w:tcBorders>
            <w:shd w:fill="FFE8E8" w:val="clear"/>
            <w:tcMar>
              <w:top w:type="dxa" w:w="62"/>
              <w:left w:type="dxa" w:w="85"/>
              <w:bottom w:type="dxa" w:w="62"/>
              <w:right w:type="dxa" w:w="85"/>
            </w:tcMar>
          </w:tcPr>
          <w:p>
            <w:pPr>
              <w:jc w:val="left"/>
            </w:pPr>
            <w:r>
              <w:rPr>
                <w:rFonts w:ascii="Calibri" w:cs="Calibri" w:eastAsia="Calibri" w:hAnsi="Calibri"/>
                <w:b w:val="false"/>
                <w:bCs w:val="false"/>
                <w:i/>
                <w:iCs/>
                <w:color w:val="4A6080"/>
                <w:sz w:val="13"/>
                <w:szCs w:val="13"/>
              </w:rPr>
              <w:t xml:space="preserve">NON compris dans le budget. Estimatif : 300 000–550 000 F. À acheter APRÈS visa.</w:t>
            </w:r>
          </w:p>
        </w:tc>
      </w:tr>
      <w:tr>
        <w:tc>
          <w:tcPr>
            <w:tcW w:type="auto" w:w="2700"/>
            <w:tcBorders>
              <w:top w:val="single" w:color="FFAAAA" w:sz="1"/>
              <w:left w:val="single" w:color="FFAAAA" w:sz="1"/>
              <w:bottom w:val="single" w:color="FFAAAA" w:sz="1"/>
              <w:right w:val="single" w:color="FFAAAA" w:sz="1"/>
            </w:tcBorders>
            <w:shd w:fill="CC0000" w:val="clear"/>
            <w:tcMar>
              <w:top w:type="dxa" w:w="95"/>
              <w:left w:type="dxa" w:w="85"/>
              <w:bottom w:type="dxa" w:w="95"/>
              <w:right w:type="dxa" w:w="85"/>
            </w:tcMar>
          </w:tcPr>
          <w:p>
            <w:r>
              <w:rPr>
                <w:rFonts w:ascii="Calibri" w:cs="Calibri" w:eastAsia="Calibri" w:hAnsi="Calibri"/>
                <w:b/>
                <w:bCs/>
                <w:color w:val="FFFFFF"/>
                <w:sz w:val="18"/>
                <w:szCs w:val="18"/>
              </w:rPr>
              <w:t xml:space="preserve">💰  BUDGET DE BASE — HORS BILLET D'AVION</w:t>
            </w:r>
          </w:p>
        </w:tc>
        <w:tc>
          <w:tcPr>
            <w:tcW w:type="auto" w:w="1900"/>
            <w:tcBorders>
              <w:top w:val="single" w:color="FFAAAA" w:sz="1"/>
              <w:left w:val="single" w:color="FFAAAA" w:sz="1"/>
              <w:bottom w:val="single" w:color="FFAAAA" w:sz="1"/>
              <w:right w:val="single" w:color="FFAAAA" w:sz="1"/>
            </w:tcBorders>
            <w:shd w:fill="C8A400" w:val="clear"/>
            <w:tcMar>
              <w:top w:type="dxa" w:w="95"/>
              <w:left w:type="dxa" w:w="85"/>
              <w:bottom w:type="dxa" w:w="95"/>
              <w:right w:type="dxa" w:w="85"/>
            </w:tcMar>
          </w:tcPr>
          <w:p>
            <w:pPr>
              <w:jc w:val="center"/>
            </w:pPr>
            <w:r>
              <w:rPr>
                <w:rFonts w:ascii="Calibri" w:cs="Calibri" w:eastAsia="Calibri" w:hAnsi="Calibri"/>
                <w:b/>
                <w:bCs/>
                <w:color w:val="CC0000"/>
                <w:sz w:val="20"/>
                <w:szCs w:val="20"/>
              </w:rPr>
              <w:t xml:space="preserve">2 800 000 FCFA</w:t>
            </w:r>
          </w:p>
        </w:tc>
        <w:tc>
          <w:tcPr>
            <w:tcW w:type="auto" w:w="5318"/>
            <w:gridSpan w:val="2"/>
            <w:tcBorders>
              <w:top w:val="single" w:color="FFAAAA" w:sz="1"/>
              <w:left w:val="single" w:color="FFAAAA" w:sz="1"/>
              <w:bottom w:val="single" w:color="FFAAAA" w:sz="1"/>
              <w:right w:val="single" w:color="FFAAAA" w:sz="1"/>
            </w:tcBorders>
            <w:shd w:fill="CC0000" w:val="clear"/>
            <w:tcMar>
              <w:top w:type="dxa" w:w="95"/>
              <w:left w:type="dxa" w:w="110"/>
              <w:bottom w:type="dxa" w:w="95"/>
              <w:right w:type="dxa" w:w="110"/>
            </w:tcMar>
          </w:tcPr>
          <w:p>
            <w:r>
              <w:rPr>
                <w:rFonts w:ascii="Calibri" w:cs="Calibri" w:eastAsia="Calibri" w:hAnsi="Calibri"/>
                <w:color w:val="BBDDBB"/>
                <w:sz w:val="15"/>
                <w:szCs w:val="15"/>
              </w:rPr>
              <w:t xml:space="preserve">Budget légèrement supérieur — frais consulaires suisses plus élevés + quota strict. HORS billet d'avion.</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CC0000" w:val="clear"/>
            <w:vAlign w:val="center"/>
          </w:tcPr>
          <w:p>
            <w:pPr>
              <w:jc w:val="center"/>
            </w:pPr>
            <w:r>
              <w:rPr>
                <w:rFonts w:ascii="Calibri" w:cs="Calibri" w:eastAsia="Calibri" w:hAnsi="Calibri"/>
                <w:sz w:val="22"/>
                <w:szCs w:val="22"/>
              </w:rPr>
              <w:t xml:space="preserve">ℹ</w:t>
            </w:r>
          </w:p>
        </w:tc>
        <w:tc>
          <w:tcPr>
            <w:tcW w:type="auto" w:w="9698"/>
            <w:tcBorders>
              <w:top w:val="single" w:color="FFAAAA" w:sz="1"/>
              <w:left w:val="single" w:color="FFAAAA" w:sz="1"/>
              <w:bottom w:val="single" w:color="FFAAAA" w:sz="1"/>
              <w:right w:val="single" w:color="FFAAAA" w:sz="1"/>
            </w:tcBorders>
            <w:shd w:fill="FFE8E8" w:val="clear"/>
            <w:tcMar>
              <w:top w:type="dxa" w:w="70"/>
              <w:left w:type="dxa" w:w="160"/>
              <w:bottom w:type="dxa" w:w="70"/>
              <w:right w:type="dxa" w:w="140"/>
            </w:tcMar>
          </w:tcPr>
          <w:p>
            <w:pPr>
              <w:jc w:val="both"/>
            </w:pPr>
            <w:r>
              <w:rPr>
                <w:rFonts w:ascii="Calibri" w:cs="Calibri" w:eastAsia="Calibri" w:hAnsi="Calibri"/>
                <w:color w:val="131E2D"/>
                <w:sz w:val="17"/>
                <w:szCs w:val="17"/>
              </w:rPr>
              <w:t xml:space="preserve">Budget variable selon profil : ✅ Diplôme déjà traduit → économie 60 000–150 000 F. ✅ Pas de visite médicale → économie 100 000–180 000 F. ⚠ ENIC-NARIC requis → +80 000 F. ⚠ Test de langue → +80 000–150 000 F. Billet d'avion (300 000–550 000 F) À VOTRE CHARGE — à acheter APRÈS obtention du visa.</w:t>
            </w:r>
          </w:p>
        </w:tc>
      </w:tr>
    </w:tbl>
    <w:p>
      <w:pPr>
        <w:spacing w:after="0" w:before="10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08  —  Modalités de Paiement — 3 Options Flexibles</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3306"/>
        <w:gridCol w:w="3306"/>
        <w:gridCol w:w="3306"/>
      </w:tblGrid>
      <w:tr>
        <w:tc>
          <w:tcPr>
            <w:tcW w:type="auto" w:w="3306"/>
            <w:tcBorders>
              <w:top w:val="none" w:color="FFFFFF" w:sz="0"/>
              <w:left w:val="none" w:color="FFFFFF" w:sz="0"/>
              <w:bottom w:val="none" w:color="FFFFFF" w:sz="0"/>
              <w:right w:val="none" w:color="FFFFFF" w:sz="0"/>
            </w:tcBorders>
            <w:shd w:fill="CC0000"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PAIEMENT COMPLET</w:t>
            </w:r>
          </w:p>
        </w:tc>
        <w:tc>
          <w:tcPr>
            <w:tcW w:type="auto" w:w="3306"/>
            <w:tcBorders>
              <w:top w:val="none" w:color="FFFFFF" w:sz="0"/>
              <w:left w:val="single" w:color="FFFFFF" w:sz="3"/>
              <w:bottom w:val="none" w:color="FFFFFF" w:sz="0"/>
              <w:right w:val="single" w:color="FFFFFF" w:sz="3"/>
            </w:tcBorders>
            <w:shd w:fill="333333"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PAR TRANCHES</w:t>
            </w:r>
          </w:p>
        </w:tc>
        <w:tc>
          <w:tcPr>
            <w:tcW w:type="auto" w:w="3306"/>
            <w:tcBorders>
              <w:top w:val="none" w:color="FFFFFF" w:sz="0"/>
              <w:left w:val="none" w:color="FFFFFF" w:sz="0"/>
              <w:bottom w:val="none" w:color="FFFFFF" w:sz="0"/>
              <w:right w:val="none" w:color="FFFFFF" w:sz="0"/>
            </w:tcBorders>
            <w:shd w:fill="1D7A45" w:val="clear"/>
            <w:tcMar>
              <w:top w:type="dxa" w:w="100"/>
              <w:left w:type="dxa" w:w="140"/>
              <w:bottom w:type="dxa" w:w="6"/>
              <w:right w:type="dxa" w:w="140"/>
            </w:tcMar>
          </w:tcPr>
          <w:p>
            <w:pPr>
              <w:jc w:val="center"/>
            </w:pPr>
            <w:r>
              <w:rPr>
                <w:rFonts w:ascii="Calibri" w:cs="Calibri" w:eastAsia="Calibri" w:hAnsi="Calibri"/>
                <w:b/>
                <w:bCs/>
                <w:color w:val="FFFFFF"/>
                <w:sz w:val="19"/>
                <w:szCs w:val="19"/>
              </w:rPr>
              <w:t xml:space="preserve">🔒  PERMIS GARANTI</w:t>
            </w:r>
          </w:p>
        </w:tc>
      </w:tr>
      <w:tr>
        <w:tc>
          <w:tcPr>
            <w:tcW w:type="auto" w:w="3306"/>
            <w:tcBorders>
              <w:top w:val="none" w:color="FFFFFF" w:sz="0"/>
              <w:left w:val="none" w:color="FFFFFF" w:sz="0"/>
              <w:bottom w:val="none" w:color="FFFFFF" w:sz="0"/>
              <w:right w:val="none" w:color="FFFFFF" w:sz="0"/>
            </w:tcBorders>
            <w:shd w:fill="CC0000"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0% de majoration</w:t>
            </w:r>
          </w:p>
          <w:p>
            <w:pPr>
              <w:jc w:val="center"/>
            </w:pPr>
            <w:r>
              <w:rPr>
                <w:rFonts w:ascii="Calibri" w:cs="Calibri" w:eastAsia="Calibri" w:hAnsi="Calibri"/>
                <w:b/>
                <w:bCs/>
                <w:color w:val="FFFFFF"/>
                <w:sz w:val="32"/>
                <w:szCs w:val="32"/>
              </w:rPr>
              <w:t xml:space="preserve">2 800 000 F</w:t>
            </w:r>
          </w:p>
        </w:tc>
        <w:tc>
          <w:tcPr>
            <w:tcW w:type="auto" w:w="3306"/>
            <w:tcBorders>
              <w:top w:val="none" w:color="FFFFFF" w:sz="0"/>
              <w:left w:val="single" w:color="FFFFFF" w:sz="3"/>
              <w:bottom w:val="none" w:color="FFFFFF" w:sz="0"/>
              <w:right w:val="single" w:color="FFFFFF" w:sz="3"/>
            </w:tcBorders>
            <w:shd w:fill="333333"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+ 15% de majoration</w:t>
            </w:r>
          </w:p>
          <w:p>
            <w:pPr>
              <w:jc w:val="center"/>
            </w:pPr>
            <w:r>
              <w:rPr>
                <w:rFonts w:ascii="Calibri" w:cs="Calibri" w:eastAsia="Calibri" w:hAnsi="Calibri"/>
                <w:b/>
                <w:bCs/>
                <w:color w:val="FFFFFF"/>
                <w:sz w:val="32"/>
                <w:szCs w:val="32"/>
              </w:rPr>
              <w:t xml:space="preserve">3 220 000 F</w:t>
            </w:r>
          </w:p>
        </w:tc>
        <w:tc>
          <w:tcPr>
            <w:tcW w:type="auto" w:w="3306"/>
            <w:tcBorders>
              <w:top w:val="none" w:color="FFFFFF" w:sz="0"/>
              <w:left w:val="none" w:color="FFFFFF" w:sz="0"/>
              <w:bottom w:val="none" w:color="FFFFFF" w:sz="0"/>
              <w:right w:val="none" w:color="FFFFFF" w:sz="0"/>
            </w:tcBorders>
            <w:shd w:fill="1D7A45" w:val="clear"/>
            <w:tcMar>
              <w:top w:type="dxa" w:w="0"/>
              <w:left w:type="dxa" w:w="140"/>
              <w:bottom w:type="dxa" w:w="10"/>
              <w:right w:type="dxa" w:w="140"/>
            </w:tcMar>
          </w:tcPr>
          <w:p>
            <w:pPr>
              <w:jc w:val="center"/>
            </w:pPr>
            <w:r>
              <w:rPr>
                <w:rFonts w:ascii="Calibri" w:cs="Calibri" w:eastAsia="Calibri" w:hAnsi="Calibri"/>
                <w:color w:val="DDDDDD"/>
                <w:sz w:val="17"/>
                <w:szCs w:val="17"/>
              </w:rPr>
              <w:t xml:space="preserve">+ 25% de majoration</w:t>
            </w:r>
          </w:p>
          <w:p>
            <w:pPr>
              <w:jc w:val="center"/>
            </w:pPr>
            <w:r>
              <w:rPr>
                <w:rFonts w:ascii="Calibri" w:cs="Calibri" w:eastAsia="Calibri" w:hAnsi="Calibri"/>
                <w:b/>
                <w:bCs/>
                <w:color w:val="FFFFFF"/>
                <w:sz w:val="32"/>
                <w:szCs w:val="32"/>
              </w:rPr>
              <w:t xml:space="preserve">3 500 000 F</w:t>
            </w:r>
          </w:p>
        </w:tc>
      </w:tr>
      <w:tr>
        <w:tc>
          <w:tcPr>
            <w:tcW w:type="auto" w:w="3306"/>
            <w:tcBorders>
              <w:top w:val="single" w:color="CC0000" w:sz="3"/>
              <w:left w:val="none" w:color="FFFFFF" w:sz="0"/>
              <w:bottom w:val="none" w:color="FFFFFF" w:sz="0"/>
              <w:right w:val="none" w:color="FFFFFF" w:sz="0"/>
            </w:tcBorders>
            <w:shd w:fill="FFE8E8" w:val="clear"/>
            <w:tcMar>
              <w:top w:type="dxa" w:w="90"/>
              <w:left w:type="dxa" w:w="140"/>
              <w:bottom w:type="dxa" w:w="90"/>
              <w:right w:type="dxa" w:w="120"/>
            </w:tcMar>
          </w:tcPr>
          <w:p>
            <w:pPr>
              <w:spacing w:after="40" w:before="0"/>
            </w:pPr>
            <w:r>
              <w:rPr>
                <w:rFonts w:ascii="Calibri" w:cs="Calibri" w:eastAsia="Calibri" w:hAnsi="Calibri"/>
                <w:b/>
                <w:bCs/>
                <w:color w:val="CC0000"/>
                <w:sz w:val="17"/>
                <w:szCs w:val="17"/>
              </w:rPr>
              <w:t xml:space="preserve">✔  Meilleur tarif — Traitement prioritaire</w:t>
            </w:r>
          </w:p>
          <w:p>
            <w:pPr>
              <w:spacing w:after="0" w:before="0"/>
            </w:pPr>
            <w:r>
              <w:rPr>
                <w:rFonts w:ascii="Calibri" w:cs="Calibri" w:eastAsia="Calibri" w:hAnsi="Calibri"/>
                <w:color w:val="CC0000"/>
                <w:sz w:val="17"/>
                <w:szCs w:val="17"/>
              </w:rPr>
              <w:t xml:space="preserve">✔  Paiement intégral à la signature</w:t>
            </w:r>
          </w:p>
        </w:tc>
        <w:tc>
          <w:tcPr>
            <w:tcW w:type="auto" w:w="3306"/>
            <w:tcBorders>
              <w:top w:val="single" w:color="CC0000" w:sz="3"/>
              <w:left w:val="single" w:color="FFFFFF" w:sz="3"/>
              <w:bottom w:val="none" w:color="FFFFFF" w:sz="0"/>
              <w:right w:val="single" w:color="FFFFFF" w:sz="3"/>
            </w:tcBorders>
            <w:shd w:fill="F4F7FC" w:val="clear"/>
            <w:tcMar>
              <w:top w:type="dxa" w:w="90"/>
              <w:left w:type="dxa" w:w="140"/>
              <w:bottom w:type="dxa" w:w="90"/>
              <w:right w:type="dxa" w:w="120"/>
            </w:tcMar>
          </w:tcPr>
          <w:p>
            <w:pPr>
              <w:spacing w:after="40" w:before="0"/>
            </w:pPr>
            <w:r>
              <w:rPr>
                <w:rFonts w:ascii="Calibri" w:cs="Calibri" w:eastAsia="Calibri" w:hAnsi="Calibri"/>
                <w:b/>
                <w:bCs/>
                <w:color w:val="CC0000"/>
                <w:sz w:val="17"/>
                <w:szCs w:val="17"/>
              </w:rPr>
              <w:t xml:space="preserve">✔  Flexibilité — Échéancier contractuel</w:t>
            </w:r>
          </w:p>
          <w:p>
            <w:pPr>
              <w:spacing w:after="0" w:before="0"/>
            </w:pPr>
            <w:r>
              <w:rPr>
                <w:rFonts w:ascii="Calibri" w:cs="Calibri" w:eastAsia="Calibri" w:hAnsi="Calibri"/>
                <w:color w:val="CC0000"/>
                <w:sz w:val="17"/>
                <w:szCs w:val="17"/>
              </w:rPr>
              <w:t xml:space="preserve">✔  65 000 F exigibles à la signature</w:t>
            </w:r>
          </w:p>
        </w:tc>
        <w:tc>
          <w:tcPr>
            <w:tcW w:type="auto" w:w="3306"/>
            <w:tcBorders>
              <w:top w:val="single" w:color="CC0000" w:sz="3"/>
              <w:left w:val="none" w:color="FFFFFF" w:sz="0"/>
              <w:bottom w:val="none" w:color="FFFFFF" w:sz="0"/>
              <w:right w:val="none" w:color="FFFFFF" w:sz="0"/>
            </w:tcBorders>
            <w:shd w:fill="E5F3EA" w:val="clear"/>
            <w:tcMar>
              <w:top w:type="dxa" w:w="90"/>
              <w:left w:type="dxa" w:w="140"/>
              <w:bottom w:type="dxa" w:w="90"/>
              <w:right w:type="dxa" w:w="120"/>
            </w:tcMar>
          </w:tcPr>
          <w:p>
            <w:pPr>
              <w:spacing w:after="40" w:before="0"/>
            </w:pPr>
            <w:r>
              <w:rPr>
                <w:rFonts w:ascii="Calibri" w:cs="Calibri" w:eastAsia="Calibri" w:hAnsi="Calibri"/>
                <w:b/>
                <w:bCs/>
                <w:color w:val="CC0000"/>
                <w:sz w:val="17"/>
                <w:szCs w:val="17"/>
              </w:rPr>
              <w:t xml:space="preserve">✔  Solde UNIQUEMENT à l'obtention du permis</w:t>
            </w:r>
          </w:p>
          <w:p>
            <w:pPr>
              <w:spacing w:after="0" w:before="0"/>
            </w:pPr>
            <w:r>
              <w:rPr>
                <w:rFonts w:ascii="Calibri" w:cs="Calibri" w:eastAsia="Calibri" w:hAnsi="Calibri"/>
                <w:color w:val="CC0000"/>
                <w:sz w:val="17"/>
                <w:szCs w:val="17"/>
              </w:rPr>
              <w:t xml:space="preserve">✔  65 000 F exigibles à la signature</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20"/>
        <w:gridCol w:w="9698"/>
      </w:tblGrid>
      <w:tr>
        <w:tc>
          <w:tcPr>
            <w:tcW w:type="auto" w:w="220"/>
            <w:tcBorders>
              <w:top w:val="none" w:color="FFFFFF" w:sz="0"/>
              <w:left w:val="none" w:color="FFFFFF" w:sz="0"/>
              <w:bottom w:val="none" w:color="FFFFFF" w:sz="0"/>
              <w:right w:val="none" w:color="FFFFFF" w:sz="0"/>
            </w:tcBorders>
            <w:shd w:fill="1D7A45" w:val="clear"/>
            <w:vAlign w:val="center"/>
          </w:tcPr>
          <w:p>
            <w:pPr>
              <w:jc w:val="center"/>
            </w:pPr>
            <w:r>
              <w:rPr>
                <w:rFonts w:ascii="Calibri" w:cs="Calibri" w:eastAsia="Calibri" w:hAnsi="Calibri"/>
                <w:sz w:val="22"/>
                <w:szCs w:val="22"/>
              </w:rPr>
              <w:t xml:space="preserve">🔒</w:t>
            </w:r>
          </w:p>
        </w:tc>
        <w:tc>
          <w:tcPr>
            <w:tcW w:type="auto" w:w="9698"/>
            <w:tcBorders>
              <w:top w:val="single" w:color="FFAAAA" w:sz="1"/>
              <w:left w:val="single" w:color="FFAAAA" w:sz="1"/>
              <w:bottom w:val="single" w:color="FFAAAA" w:sz="1"/>
              <w:right w:val="single" w:color="FFAAAA" w:sz="1"/>
            </w:tcBorders>
            <w:shd w:fill="E5F3EA" w:val="clear"/>
            <w:tcMar>
              <w:top w:type="dxa" w:w="70"/>
              <w:left w:type="dxa" w:w="160"/>
              <w:bottom w:type="dxa" w:w="70"/>
              <w:right w:type="dxa" w:w="140"/>
            </w:tcMar>
          </w:tcPr>
          <w:p>
            <w:pPr>
              <w:jc w:val="both"/>
            </w:pPr>
            <w:r>
              <w:rPr>
                <w:rFonts w:ascii="Calibri" w:cs="Calibri" w:eastAsia="Calibri" w:hAnsi="Calibri"/>
                <w:color w:val="131E2D"/>
                <w:sz w:val="17"/>
                <w:szCs w:val="17"/>
              </w:rPr>
              <w:t xml:space="preserve">La formule 'Permis Garanti' protège votre investissement : vous ne payez le solde qu'à l'obtention effective de votre permis de travail. Notre engagement le plus fort envers vous.</w:t>
            </w:r>
          </w:p>
        </w:tc>
      </w:tr>
    </w:tbl>
    <w:p>
      <w:pPr>
        <w:spacing w:after="0" w:before="80"/>
      </w:pPr>
      <w:r>
        <w:t xml:space="preserve"/>
      </w:r>
    </w:p>
    <w:p>
      <w:r>
        <w:br w:type="pag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333333" w:val="clear"/>
            <w:tcMar>
              <w:top w:type="dxa" w:w="90"/>
              <w:left w:type="dxa" w:w="220"/>
              <w:bottom w:type="dxa" w:w="90"/>
              <w:right w:type="dxa" w:w="180"/>
            </w:tcMar>
          </w:tcPr>
          <w:p>
            <w:r>
              <w:rPr>
                <w:rFonts w:ascii="Calibri" w:cs="Calibri" w:eastAsia="Calibri" w:hAnsi="Calibri"/>
                <w:b/>
                <w:bCs/>
                <w:caps/>
                <w:color w:val="FFFFFF"/>
                <w:sz w:val="20"/>
                <w:szCs w:val="20"/>
              </w:rPr>
              <w:t xml:space="preserve">09  —  Motifs de Refus Fréquents &amp; Solutions 3M Travel</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2800"/>
        <w:gridCol w:w="3000"/>
        <w:gridCol w:w="4118"/>
      </w:tblGrid>
      <w:tr>
        <w:tc>
          <w:tcPr>
            <w:tcW w:type="auto" w:w="28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Motif de refus</w:t>
            </w:r>
          </w:p>
        </w:tc>
        <w:tc>
          <w:tcPr>
            <w:tcW w:type="auto" w:w="3000"/>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Cause</w:t>
            </w:r>
          </w:p>
        </w:tc>
        <w:tc>
          <w:tcPr>
            <w:tcW w:type="auto" w:w="4118"/>
            <w:tcBorders>
              <w:top w:val="single" w:color="FFAAAA" w:sz="1"/>
              <w:left w:val="single" w:color="FFAAAA" w:sz="1"/>
              <w:bottom w:val="single" w:color="FFAAAA" w:sz="1"/>
              <w:right w:val="single" w:color="FFAAAA" w:sz="1"/>
            </w:tcBorders>
            <w:shd w:fill="CC0000" w:val="clear"/>
            <w:tcMar>
              <w:top w:type="dxa" w:w="75"/>
              <w:left w:type="dxa" w:w="85"/>
              <w:bottom w:type="dxa" w:w="75"/>
              <w:right w:type="dxa" w:w="85"/>
            </w:tcMar>
          </w:tcPr>
          <w:p>
            <w:r>
              <w:rPr>
                <w:rFonts w:ascii="Calibri" w:cs="Calibri" w:eastAsia="Calibri" w:hAnsi="Calibri"/>
                <w:b/>
                <w:bCs/>
                <w:color w:val="FFFFFF"/>
                <w:sz w:val="16"/>
                <w:szCs w:val="16"/>
              </w:rPr>
              <w:t xml:space="preserve">Solution 3M Travel</w:t>
            </w:r>
          </w:p>
        </w:tc>
      </w:tr>
      <w:tr>
        <w:tc>
          <w:tcPr>
            <w:tcW w:type="auto" w:w="28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Dossier incomplet / incohérent</w:t>
            </w:r>
          </w:p>
        </w:tc>
        <w:tc>
          <w:tcPr>
            <w:tcW w:type="auto" w:w="30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Documents manquants ou dates contradictoires</w:t>
            </w:r>
          </w:p>
        </w:tc>
        <w:tc>
          <w:tcPr>
            <w:tcW w:type="auto" w:w="41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3M Travel vérifie chaque document avant soumission — zéro erreur</w:t>
            </w:r>
          </w:p>
        </w:tc>
      </w:tr>
      <w:tr>
        <w:tc>
          <w:tcPr>
            <w:tcW w:type="auto" w:w="2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Offre d'emploi non conforme</w:t>
            </w:r>
          </w:p>
        </w:tc>
        <w:tc>
          <w:tcPr>
            <w:tcW w:type="auto" w:w="3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Contrat invalide ou salaire insuffisant</w:t>
            </w:r>
          </w:p>
        </w:tc>
        <w:tc>
          <w:tcPr>
            <w:tcW w:type="auto" w:w="4118"/>
            <w:tcBorders>
              <w:top w:val="single" w:color="FFAAAA" w:sz="1"/>
              <w:left w:val="single" w:color="FFAAAA" w:sz="1"/>
              <w:bottom w:val="single" w:color="FFAAAA" w:sz="1"/>
              <w:right w:val="single" w:color="FFAAAA"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3M Travel valide chaque contrat selon les conventions collectives</w:t>
            </w:r>
          </w:p>
        </w:tc>
      </w:tr>
      <w:tr>
        <w:tc>
          <w:tcPr>
            <w:tcW w:type="auto" w:w="28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Diplôme non reconnu</w:t>
            </w:r>
          </w:p>
        </w:tc>
        <w:tc>
          <w:tcPr>
            <w:tcW w:type="auto" w:w="30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Équivalence non faite pour métier réglementé</w:t>
            </w:r>
          </w:p>
        </w:tc>
        <w:tc>
          <w:tcPr>
            <w:tcW w:type="auto" w:w="41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Accompagnement reconnaissance ENIC-NARIC initié dès la phase 1</w:t>
            </w:r>
          </w:p>
        </w:tc>
      </w:tr>
      <w:tr>
        <w:tc>
          <w:tcPr>
            <w:tcW w:type="auto" w:w="2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Ressources financières insuffisantes</w:t>
            </w:r>
          </w:p>
        </w:tc>
        <w:tc>
          <w:tcPr>
            <w:tcW w:type="auto" w:w="3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Pas de preuve de fonds pour la période d'installation</w:t>
            </w:r>
          </w:p>
        </w:tc>
        <w:tc>
          <w:tcPr>
            <w:tcW w:type="auto" w:w="4118"/>
            <w:tcBorders>
              <w:top w:val="single" w:color="FFAAAA" w:sz="1"/>
              <w:left w:val="single" w:color="FFAAAA" w:sz="1"/>
              <w:bottom w:val="single" w:color="FFAAAA" w:sz="1"/>
              <w:right w:val="single" w:color="FFAAAA"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Préparation relevés + lettre de garant + stratégie financière</w:t>
            </w:r>
          </w:p>
        </w:tc>
      </w:tr>
      <w:tr>
        <w:tc>
          <w:tcPr>
            <w:tcW w:type="auto" w:w="28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Test de langue insuffisant</w:t>
            </w:r>
          </w:p>
        </w:tc>
        <w:tc>
          <w:tcPr>
            <w:tcW w:type="auto" w:w="30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Niveau requis non atteint</w:t>
            </w:r>
          </w:p>
        </w:tc>
        <w:tc>
          <w:tcPr>
            <w:tcW w:type="auto" w:w="41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Préparation aux tests + orientation vers postes sans exigence langue</w:t>
            </w:r>
          </w:p>
        </w:tc>
      </w:tr>
      <w:tr>
        <w:tc>
          <w:tcPr>
            <w:tcW w:type="auto" w:w="2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Visite médicale non conforme</w:t>
            </w:r>
          </w:p>
        </w:tc>
        <w:tc>
          <w:tcPr>
            <w:tcW w:type="auto" w:w="3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Résultats insuffisants ou médecin non agréé</w:t>
            </w:r>
          </w:p>
        </w:tc>
        <w:tc>
          <w:tcPr>
            <w:tcW w:type="auto" w:w="4118"/>
            <w:tcBorders>
              <w:top w:val="single" w:color="FFAAAA" w:sz="1"/>
              <w:left w:val="single" w:color="FFAAAA" w:sz="1"/>
              <w:bottom w:val="single" w:color="FFAAAA" w:sz="1"/>
              <w:right w:val="single" w:color="FFAAAA"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Orientation vers médecin agréé + préparation à la visite</w:t>
            </w:r>
          </w:p>
        </w:tc>
      </w:tr>
      <w:tr>
        <w:tc>
          <w:tcPr>
            <w:tcW w:type="auto" w:w="28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Casier judiciaire chargé</w:t>
            </w:r>
          </w:p>
        </w:tc>
        <w:tc>
          <w:tcPr>
            <w:tcW w:type="auto" w:w="30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Antécédents pénaux = refus automatique</w:t>
            </w:r>
          </w:p>
        </w:tc>
        <w:tc>
          <w:tcPr>
            <w:tcW w:type="auto" w:w="41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Analyse préalable + orientation vers pays les plus accommodants</w:t>
            </w:r>
          </w:p>
        </w:tc>
      </w:tr>
      <w:tr>
        <w:tc>
          <w:tcPr>
            <w:tcW w:type="auto" w:w="28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Fausse déclaration</w:t>
            </w:r>
          </w:p>
        </w:tc>
        <w:tc>
          <w:tcPr>
            <w:tcW w:type="auto" w:w="3000"/>
            <w:tcBorders>
              <w:top w:val="single" w:color="FFAAAA" w:sz="1"/>
              <w:left w:val="single" w:color="FFAAAA" w:sz="1"/>
              <w:bottom w:val="single" w:color="FFAAAA" w:sz="1"/>
              <w:right w:val="single" w:color="FFAAAA" w:sz="1"/>
            </w:tcBorders>
            <w:shd w:fill="FFFFFF"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Toute fausse déclaration = interdiction territoire</w:t>
            </w:r>
          </w:p>
        </w:tc>
        <w:tc>
          <w:tcPr>
            <w:tcW w:type="auto" w:w="4118"/>
            <w:tcBorders>
              <w:top w:val="single" w:color="FFAAAA" w:sz="1"/>
              <w:left w:val="single" w:color="FFAAAA" w:sz="1"/>
              <w:bottom w:val="single" w:color="FFAAAA" w:sz="1"/>
              <w:right w:val="single" w:color="FFAAAA" w:sz="1"/>
            </w:tcBorders>
            <w:shd w:fill="E8F5E9"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Dossier 100% authentique — 3M Travel ne travaille qu'avec des docs réels</w:t>
            </w:r>
          </w:p>
        </w:tc>
      </w:tr>
      <w:tr>
        <w:tc>
          <w:tcPr>
            <w:tcW w:type="auto" w:w="28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bCs/>
                <w:i w:val="false"/>
                <w:iCs w:val="false"/>
                <w:color w:val="CC0000"/>
                <w:sz w:val="16"/>
                <w:szCs w:val="16"/>
              </w:rPr>
              <w:t xml:space="preserve">Quota annuel épuisé</w:t>
            </w:r>
          </w:p>
        </w:tc>
        <w:tc>
          <w:tcPr>
            <w:tcW w:type="auto" w:w="3000"/>
            <w:tcBorders>
              <w:top w:val="single" w:color="FFAAAA" w:sz="1"/>
              <w:left w:val="single" w:color="FFAAAA" w:sz="1"/>
              <w:bottom w:val="single" w:color="FFAAAA" w:sz="1"/>
              <w:right w:val="single" w:color="FFAAAA" w:sz="1"/>
            </w:tcBorders>
            <w:shd w:fill="FEF5EC" w:val="clear"/>
            <w:tcMar>
              <w:top w:type="dxa" w:w="62"/>
              <w:left w:type="dxa" w:w="85"/>
              <w:bottom w:type="dxa" w:w="62"/>
              <w:right w:type="dxa" w:w="85"/>
            </w:tcMar>
          </w:tcPr>
          <w:p>
            <w:pPr>
              <w:jc w:val="left"/>
            </w:pPr>
            <w:r>
              <w:rPr>
                <w:rFonts w:ascii="Calibri" w:cs="Calibri" w:eastAsia="Calibri" w:hAnsi="Calibri"/>
                <w:b w:val="false"/>
                <w:bCs w:val="false"/>
                <w:i/>
                <w:iCs/>
                <w:color w:val="131E2D"/>
                <w:sz w:val="15"/>
                <w:szCs w:val="15"/>
              </w:rPr>
              <w:t xml:space="preserve">8 500 permis B seulement hors-UE — contingent annuel</w:t>
            </w:r>
          </w:p>
        </w:tc>
        <w:tc>
          <w:tcPr>
            <w:tcW w:type="auto" w:w="4118"/>
            <w:tcBorders>
              <w:top w:val="single" w:color="FFAAAA" w:sz="1"/>
              <w:left w:val="single" w:color="FFAAAA" w:sz="1"/>
              <w:bottom w:val="single" w:color="FFAAAA" w:sz="1"/>
              <w:right w:val="single" w:color="FFAAAA" w:sz="1"/>
            </w:tcBorders>
            <w:shd w:fill="E5F3EA" w:val="clear"/>
            <w:tcMar>
              <w:top w:type="dxa" w:w="62"/>
              <w:left w:type="dxa" w:w="85"/>
              <w:bottom w:type="dxa" w:w="62"/>
              <w:right w:type="dxa" w:w="85"/>
            </w:tcMar>
          </w:tcPr>
          <w:p>
            <w:pPr>
              <w:jc w:val="left"/>
            </w:pPr>
            <w:r>
              <w:rPr>
                <w:rFonts w:ascii="Calibri" w:cs="Calibri" w:eastAsia="Calibri" w:hAnsi="Calibri"/>
                <w:b/>
                <w:bCs/>
                <w:i w:val="false"/>
                <w:iCs w:val="false"/>
                <w:color w:val="1D7A45"/>
                <w:sz w:val="15"/>
                <w:szCs w:val="15"/>
              </w:rPr>
              <w:t xml:space="preserve">Déposer en début d'année. Santé = quota allégé. 3M Travel anticipe le timing.</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20"/>
        <w:gridCol w:w="120"/>
        <w:gridCol w:w="120"/>
        <w:gridCol w:w="9558"/>
      </w:tblGrid>
      <w:tr>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120"/>
            <w:tcBorders>
              <w:top w:val="none" w:color="FFFFFF" w:sz="0"/>
              <w:left w:val="none" w:color="FFFFFF" w:sz="0"/>
              <w:bottom w:val="none" w:color="FFFFFF" w:sz="0"/>
              <w:right w:val="none" w:color="FFFFFF" w:sz="0"/>
            </w:tcBorders>
            <w:shd w:fill="333333" w:val="clear"/>
          </w:tcPr>
          <w:p>
            <w:r>
              <w:t xml:space="preserve"/>
            </w:r>
          </w:p>
        </w:tc>
        <w:tc>
          <w:tcPr>
            <w:tcW w:type="auto" w:w="120"/>
            <w:tcBorders>
              <w:top w:val="none" w:color="FFFFFF" w:sz="0"/>
              <w:left w:val="none" w:color="FFFFFF" w:sz="0"/>
              <w:bottom w:val="none" w:color="FFFFFF" w:sz="0"/>
              <w:right w:val="none" w:color="FFFFFF" w:sz="0"/>
            </w:tcBorders>
            <w:shd w:fill="CC0000" w:val="clear"/>
          </w:tcPr>
          <w:p>
            <w:r>
              <w:t xml:space="preserve"/>
            </w:r>
          </w:p>
        </w:tc>
        <w:tc>
          <w:tcPr>
            <w:tcW w:type="auto" w:w="9558"/>
            <w:tcBorders>
              <w:top w:val="none" w:color="FFFFFF" w:sz="0"/>
              <w:left w:val="none" w:color="FFFFFF" w:sz="0"/>
              <w:bottom w:val="none" w:color="FFFFFF" w:sz="0"/>
              <w:right w:val="none" w:color="FFFFFF" w:sz="0"/>
            </w:tcBorders>
            <w:shd w:fill="CC0000" w:val="clear"/>
            <w:tcMar>
              <w:top w:type="dxa" w:w="90"/>
              <w:left w:type="dxa" w:w="220"/>
              <w:bottom w:type="dxa" w:w="90"/>
              <w:right w:type="dxa" w:w="180"/>
            </w:tcMar>
          </w:tcPr>
          <w:p>
            <w:r>
              <w:rPr>
                <w:rFonts w:ascii="Calibri" w:cs="Calibri" w:eastAsia="Calibri" w:hAnsi="Calibri"/>
                <w:b/>
                <w:bCs/>
                <w:caps/>
                <w:color w:val="FFFFFF"/>
                <w:sz w:val="20"/>
                <w:szCs w:val="20"/>
              </w:rPr>
              <w:t xml:space="preserve">10  —  Contacts, Ambassade &amp; Consultation Gratuite</w:t>
            </w:r>
          </w:p>
        </w:tc>
      </w:tr>
    </w:tbl>
    <w:p>
      <w:pPr>
        <w:spacing w:after="0" w:before="7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800"/>
        <w:gridCol w:w="4800"/>
        <w:gridCol w:w="4318"/>
      </w:tblGrid>
      <w:tr>
        <w:tc>
          <w:tcPr>
            <w:tcW w:type="auto" w:w="800"/>
            <w:tcBorders>
              <w:top w:val="single" w:color="FFAAAA" w:sz="1"/>
              <w:left w:val="single" w:color="FFAAAA" w:sz="1"/>
              <w:bottom w:val="single" w:color="FFAAAA" w:sz="1"/>
              <w:right w:val="single" w:color="FFAAAA" w:sz="1"/>
            </w:tcBorders>
            <w:shd w:fill="F4F7FC" w:val="clear"/>
            <w:tcMar>
              <w:top w:type="dxa" w:w="60"/>
              <w:left w:type="dxa" w:w="40"/>
              <w:bottom w:type="dxa" w:w="60"/>
              <w:right w:type="dxa" w:w="40"/>
            </w:tcMar>
            <w:vAlign w:val="center"/>
          </w:tcPr>
          <w:p>
            <w:pPr>
              <w:jc w:val="center"/>
            </w:pPr>
            <w:r>
              <w:drawing>
                <wp:inline distT="0" distB="0" distL="0" distR="0">
                  <wp:extent cx="7620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14375"/>
                          </a:xfrm>
                          <a:prstGeom prst="rect">
                            <a:avLst/>
                          </a:prstGeom>
                        </pic:spPr>
                      </pic:pic>
                    </a:graphicData>
                  </a:graphic>
                </wp:inline>
              </w:drawing>
            </w:r>
          </w:p>
        </w:tc>
        <w:tc>
          <w:tcPr>
            <w:tcW w:type="auto" w:w="4800"/>
            <w:tcBorders>
              <w:top w:val="single" w:color="FFAAAA" w:sz="1"/>
              <w:left w:val="single" w:color="FFAAAA" w:sz="1"/>
              <w:bottom w:val="single" w:color="FFAAAA" w:sz="1"/>
              <w:right w:val="single" w:color="FFAAAA" w:sz="1"/>
            </w:tcBorders>
            <w:shd w:fill="F4F7FC" w:val="clear"/>
            <w:tcMar>
              <w:top w:type="dxa" w:w="110"/>
              <w:left w:type="dxa" w:w="180"/>
              <w:bottom w:type="dxa" w:w="110"/>
              <w:right w:type="dxa" w:w="140"/>
            </w:tcMar>
          </w:tcPr>
          <w:p>
            <w:pPr>
              <w:spacing w:after="50" w:before="0"/>
            </w:pPr>
            <w:r>
              <w:rPr>
                <w:rFonts w:ascii="Calibri" w:cs="Calibri" w:eastAsia="Calibri" w:hAnsi="Calibri"/>
                <w:b/>
                <w:bCs/>
                <w:color w:val="1A3A6B"/>
                <w:sz w:val="20"/>
                <w:szCs w:val="20"/>
              </w:rPr>
              <w:t xml:space="preserve">3M TRAVEL &amp; SERVICES SARL</w:t>
            </w:r>
          </w:p>
          <w:p>
            <w:pPr>
              <w:spacing w:after="40" w:before="0"/>
            </w:pPr>
            <w:r>
              <w:rPr>
                <w:rFonts w:ascii="Calibri" w:cs="Calibri" w:eastAsia="Calibri" w:hAnsi="Calibri"/>
                <w:color w:val="131E2D"/>
                <w:sz w:val="18"/>
                <w:szCs w:val="18"/>
              </w:rPr>
              <w:t xml:space="preserve">📞 +237 698 104 832  /  +237 620 996 045</w:t>
            </w:r>
          </w:p>
          <w:p>
            <w:pPr>
              <w:spacing w:after="40" w:before="0"/>
            </w:pPr>
            <w:r>
              <w:rPr>
                <w:rFonts w:ascii="Calibri" w:cs="Calibri" w:eastAsia="Calibri" w:hAnsi="Calibri"/>
                <w:color w:val="2B5BA8"/>
                <w:sz w:val="18"/>
                <w:szCs w:val="18"/>
              </w:rPr>
              <w:t xml:space="preserve">✉  hello@3mtravelagency.com   🌐 www.3mtravelagency.com</w:t>
            </w:r>
          </w:p>
          <w:p>
            <w:pPr>
              <w:spacing w:after="0" w:before="0"/>
            </w:pPr>
            <w:r>
              <w:rPr>
                <w:rFonts w:ascii="Calibri" w:cs="Calibri" w:eastAsia="Calibri" w:hAnsi="Calibri"/>
                <w:color w:val="4A6080"/>
                <w:sz w:val="16"/>
                <w:szCs w:val="16"/>
              </w:rPr>
              <w:t xml:space="preserve">📍 Biyem-Assi, montée chapelle Obili — Yaoundé  |  RC/YAO/2019/A/2567</w:t>
            </w:r>
          </w:p>
        </w:tc>
        <w:tc>
          <w:tcPr>
            <w:tcW w:type="auto" w:w="4318"/>
            <w:tcBorders>
              <w:top w:val="single" w:color="FFAAAA" w:sz="1"/>
              <w:left w:val="single" w:color="FFAAAA" w:sz="1"/>
              <w:bottom w:val="single" w:color="FFAAAA" w:sz="1"/>
              <w:right w:val="single" w:color="FFAAAA" w:sz="1"/>
            </w:tcBorders>
            <w:shd w:fill="FFE8E8" w:val="clear"/>
            <w:tcMar>
              <w:top w:type="dxa" w:w="110"/>
              <w:left w:type="dxa" w:w="180"/>
              <w:bottom w:type="dxa" w:w="110"/>
              <w:right w:type="dxa" w:w="140"/>
            </w:tcMar>
          </w:tcPr>
          <w:p>
            <w:pPr>
              <w:spacing w:after="50" w:before="0"/>
            </w:pPr>
            <w:r>
              <w:rPr>
                <w:rFonts w:ascii="Calibri" w:cs="Calibri" w:eastAsia="Calibri" w:hAnsi="Calibri"/>
                <w:b/>
                <w:bCs/>
                <w:color w:val="CC0000"/>
                <w:sz w:val="18"/>
                <w:szCs w:val="18"/>
              </w:rPr>
              <w:t xml:space="preserve">🇨🇭  Ambassade de Suisse à Yaoundé</w:t>
            </w:r>
          </w:p>
          <w:p>
            <w:pPr>
              <w:spacing w:after="40" w:before="0"/>
            </w:pPr>
            <w:r>
              <w:rPr>
                <w:rFonts w:ascii="Calibri" w:cs="Calibri" w:eastAsia="Calibri" w:hAnsi="Calibri"/>
                <w:color w:val="131E2D"/>
                <w:sz w:val="16"/>
                <w:szCs w:val="16"/>
              </w:rPr>
              <w:t xml:space="preserve">📍 Rue 1824, Bastos, Yaoundé</w:t>
            </w:r>
          </w:p>
          <w:p>
            <w:pPr>
              <w:spacing w:after="40" w:before="0"/>
            </w:pPr>
            <w:r>
              <w:rPr>
                <w:rFonts w:ascii="Calibri" w:cs="Calibri" w:eastAsia="Calibri" w:hAnsi="Calibri"/>
                <w:color w:val="131E2D"/>
                <w:sz w:val="16"/>
                <w:szCs w:val="16"/>
              </w:rPr>
              <w:t xml:space="preserve">📞 +237 222 209 660</w:t>
            </w:r>
          </w:p>
          <w:p>
            <w:pPr>
              <w:spacing w:after="0" w:before="0"/>
            </w:pPr>
            <w:r>
              <w:rPr>
                <w:rFonts w:ascii="Calibri" w:cs="Calibri" w:eastAsia="Calibri" w:hAnsi="Calibri"/>
                <w:color w:val="2B5BA8"/>
                <w:sz w:val="16"/>
                <w:szCs w:val="16"/>
              </w:rPr>
              <w:t xml:space="preserve">🌐 eda.admin.ch/yaounde / ch.tlscontact.com</w:t>
            </w:r>
          </w:p>
        </w:tc>
      </w:tr>
    </w:tbl>
    <w:p>
      <w:pPr>
        <w:spacing w:after="0" w:before="80"/>
      </w:pPr>
      <w:r>
        <w:t xml:space="preserve"/>
      </w:r>
    </w:p>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9618"/>
      </w:tblGrid>
      <w:tr>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333333"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9618"/>
            <w:tcBorders>
              <w:top w:val="none" w:color="FFFFFF" w:sz="0"/>
              <w:left w:val="none" w:color="FFFFFF" w:sz="0"/>
              <w:bottom w:val="none" w:color="FFFFFF" w:sz="0"/>
              <w:right w:val="none" w:color="FFFFFF" w:sz="0"/>
            </w:tcBorders>
            <w:shd w:fill="CC0000" w:val="clear"/>
            <w:tcMar>
              <w:top w:type="dxa" w:w="150"/>
              <w:left w:type="dxa" w:w="260"/>
              <w:bottom w:type="dxa" w:w="150"/>
              <w:right w:type="dxa" w:w="240"/>
            </w:tcMar>
          </w:tcPr>
          <w:p>
            <w:pPr>
              <w:spacing w:after="90" w:before="0"/>
              <w:jc w:val="center"/>
            </w:pPr>
            <w:r>
              <w:rPr>
                <w:rFonts w:ascii="Calibri" w:cs="Calibri" w:eastAsia="Calibri" w:hAnsi="Calibri"/>
                <w:b/>
                <w:bCs/>
                <w:color w:val="C8A400"/>
                <w:sz w:val="24"/>
                <w:szCs w:val="24"/>
              </w:rPr>
              <w:t xml:space="preserve">✅  CONSULTATION INITIALE GRATUITE &amp; SANS ENGAGEMENT</w:t>
            </w:r>
          </w:p>
          <w:p>
            <w:pPr>
              <w:spacing w:after="100" w:before="0"/>
              <w:jc w:val="center"/>
            </w:pPr>
            <w:r>
              <w:rPr>
                <w:rFonts w:ascii="Calibri" w:cs="Calibri" w:eastAsia="Calibri" w:hAnsi="Calibri"/>
                <w:color w:val="DDEEEE"/>
                <w:sz w:val="19"/>
                <w:szCs w:val="19"/>
              </w:rPr>
              <w:t xml:space="preserve">Analyse de votre profil, identification du secteur optimal en Suisse, devis personnalisé — gratuitement.</w:t>
            </w:r>
          </w:p>
          <w:p>
            <w:pPr>
              <w:spacing w:after="70" w:before="0"/>
              <w:jc w:val="center"/>
            </w:pPr>
            <w:r>
              <w:rPr>
                <w:rFonts w:ascii="Calibri" w:cs="Calibri" w:eastAsia="Calibri" w:hAnsi="Calibri"/>
                <w:b/>
                <w:bCs/>
                <w:color w:val="FFFFFF"/>
                <w:sz w:val="24"/>
                <w:szCs w:val="24"/>
              </w:rPr>
              <w:t xml:space="preserve">📞 +237 698 104 832  /  +237 620 996 045</w:t>
            </w:r>
          </w:p>
          <w:p>
            <w:pPr>
              <w:spacing w:after="0" w:before="0"/>
              <w:jc w:val="center"/>
            </w:pPr>
            <w:r>
              <w:rPr>
                <w:rFonts w:ascii="Calibri" w:cs="Calibri" w:eastAsia="Calibri" w:hAnsi="Calibri"/>
                <w:b/>
                <w:bCs/>
                <w:i/>
                <w:iCs/>
                <w:color w:val="C8A400"/>
                <w:sz w:val="18"/>
                <w:szCs w:val="18"/>
              </w:rPr>
              <w:t xml:space="preserve">« Votre mobilité, notre expertise. Votre réussite, notre mission. »</w:t>
            </w:r>
          </w:p>
        </w:tc>
      </w:tr>
    </w:tbl>
    <w:p>
      <w:pPr>
        <w:spacing w:after="0" w:before="80"/>
      </w:pPr>
      <w:r>
        <w:t xml:space="preserve"/>
      </w:r>
    </w:p>
    <w:p>
      <w:pPr>
        <w:pBdr>
          <w:top w:val="single" w:color="CCCCCC" w:sz="1"/>
        </w:pBdr>
        <w:spacing w:before="80"/>
        <w:jc w:val="center"/>
      </w:pPr>
      <w:r>
        <w:rPr>
          <w:rFonts w:ascii="Calibri" w:cs="Calibri" w:eastAsia="Calibri" w:hAnsi="Calibri"/>
          <w:i/>
          <w:iCs/>
          <w:color w:val="4A6080"/>
          <w:sz w:val="15"/>
          <w:szCs w:val="15"/>
        </w:rPr>
        <w:t xml:space="preserve">Document établi par 3M Travel &amp; Services SARL — À titre informatif. Frais, délais et conditions susceptibles d'évoluer. Consultez-nous pour toute situation particulière.</w:t>
      </w:r>
    </w:p>
    <w:sectPr>
      <w:head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918"/>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700"/>
      <w:gridCol w:w="5500"/>
      <w:gridCol w:w="3318"/>
    </w:tblGrid>
    <w:tr>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100"/>
          <w:tcBorders>
            <w:top w:val="none" w:color="FFFFFF" w:sz="0"/>
            <w:left w:val="none" w:color="FFFFFF" w:sz="0"/>
            <w:bottom w:val="none" w:color="FFFFFF" w:sz="0"/>
            <w:right w:val="none" w:color="FFFFFF" w:sz="0"/>
          </w:tcBorders>
          <w:shd w:fill="333333" w:val="clear"/>
        </w:tcPr>
        <w:p>
          <w:r>
            <w:t xml:space="preserve"/>
          </w:r>
        </w:p>
      </w:tc>
      <w:tc>
        <w:tcPr>
          <w:tcW w:type="auto" w:w="100"/>
          <w:tcBorders>
            <w:top w:val="none" w:color="FFFFFF" w:sz="0"/>
            <w:left w:val="none" w:color="FFFFFF" w:sz="0"/>
            <w:bottom w:val="none" w:color="FFFFFF" w:sz="0"/>
            <w:right w:val="none" w:color="FFFFFF" w:sz="0"/>
          </w:tcBorders>
          <w:shd w:fill="CC0000" w:val="clear"/>
        </w:tcPr>
        <w:p>
          <w:r>
            <w:t xml:space="preserve"/>
          </w:r>
        </w:p>
      </w:tc>
      <w:tc>
        <w:tcPr>
          <w:tcW w:type="auto" w:w="700"/>
          <w:tcBorders>
            <w:top w:val="none" w:color="FFFFFF" w:sz="0"/>
            <w:left w:val="none" w:color="FFFFFF" w:sz="0"/>
            <w:bottom w:val="none" w:color="FFFFFF" w:sz="0"/>
            <w:right w:val="none" w:color="FFFFFF" w:sz="0"/>
          </w:tcBorders>
          <w:shd w:fill="FFFFFF" w:val="clear"/>
          <w:tcMar>
            <w:top w:type="dxa" w:w="15"/>
            <w:left w:type="dxa" w:w="30"/>
            <w:bottom w:type="dxa" w:w="15"/>
            <w:right w:type="dxa" w:w="30"/>
          </w:tcMar>
          <w:vAlign w:val="center"/>
        </w:tcPr>
        <w:p>
          <w:pPr>
            <w:jc w:val="center"/>
          </w:pPr>
          <w:r>
            <w:drawing>
              <wp:inline distT="0" distB="0" distL="0" distR="0">
                <wp:extent cx="495300" cy="46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95300" cy="466725"/>
                        </a:xfrm>
                        <a:prstGeom prst="rect">
                          <a:avLst/>
                        </a:prstGeom>
                      </pic:spPr>
                    </pic:pic>
                  </a:graphicData>
                </a:graphic>
              </wp:inline>
            </w:drawing>
          </w:r>
        </w:p>
      </w:tc>
      <w:tc>
        <w:tcPr>
          <w:tcW w:type="auto" w:w="5500"/>
          <w:tcBorders>
            <w:top w:val="none" w:color="FFFFFF" w:sz="0"/>
            <w:left w:val="none" w:color="FFFFFF" w:sz="0"/>
            <w:bottom w:val="single" w:color="CC0000" w:sz="6"/>
            <w:right w:val="none" w:color="FFFFFF" w:sz="0"/>
          </w:tcBorders>
          <w:shd w:fill="1A3A6B" w:val="clear"/>
          <w:tcMar>
            <w:top w:type="dxa" w:w="60"/>
            <w:left w:type="dxa" w:w="200"/>
            <w:bottom w:type="dxa" w:w="60"/>
            <w:right w:type="dxa" w:w="100"/>
          </w:tcMar>
          <w:vAlign w:val="center"/>
        </w:tcPr>
        <w:p>
          <w:r>
            <w:rPr>
              <w:rFonts w:ascii="Calibri" w:cs="Calibri" w:eastAsia="Calibri" w:hAnsi="Calibri"/>
              <w:b/>
              <w:bCs/>
              <w:color w:val="FFFFFF"/>
              <w:sz w:val="22"/>
              <w:szCs w:val="22"/>
            </w:rPr>
            <w:t xml:space="preserve">3M TRAVEL &amp; SERVICES SARL</w:t>
          </w:r>
        </w:p>
        <w:p>
          <w:r>
            <w:rPr>
              <w:rFonts w:ascii="Calibri" w:cs="Calibri" w:eastAsia="Calibri" w:hAnsi="Calibri"/>
              <w:color w:val="A8C8E8"/>
              <w:sz w:val="15"/>
              <w:szCs w:val="15"/>
            </w:rPr>
            <w:t xml:space="preserve">Immigration  •  Visa Travail 🇨🇭 Suisse  •  Opportunités Africaines  •  À partir de 2 800 000 FCFA</w:t>
          </w:r>
        </w:p>
      </w:tc>
      <w:tc>
        <w:tcPr>
          <w:tcW w:type="auto" w:w="3318"/>
          <w:tcBorders>
            <w:top w:val="none" w:color="FFFFFF" w:sz="0"/>
            <w:left w:val="none" w:color="FFFFFF" w:sz="0"/>
            <w:bottom w:val="single" w:color="CC0000" w:sz="6"/>
            <w:right w:val="none" w:color="FFFFFF" w:sz="0"/>
          </w:tcBorders>
          <w:shd w:fill="CC0000" w:val="clear"/>
          <w:tcMar>
            <w:top w:type="dxa" w:w="60"/>
            <w:left w:type="dxa" w:w="80"/>
            <w:bottom w:type="dxa" w:w="60"/>
            <w:right w:type="dxa" w:w="100"/>
          </w:tcMar>
          <w:vAlign w:val="center"/>
        </w:tcPr>
        <w:p>
          <w:pPr>
            <w:jc w:val="right"/>
          </w:pPr>
          <w:r>
            <w:rPr>
              <w:rFonts w:ascii="Calibri" w:cs="Calibri" w:eastAsia="Calibri" w:hAnsi="Calibri"/>
              <w:b/>
              <w:bCs/>
              <w:color w:val="FFFFFF"/>
              <w:sz w:val="18"/>
              <w:szCs w:val="18"/>
            </w:rPr>
            <w:t xml:space="preserve">VISA TRAVAIL 🇨🇭</w:t>
          </w:r>
        </w:p>
        <w:p>
          <w:pPr>
            <w:jc w:val="right"/>
          </w:pPr>
          <w:r>
            <w:rPr>
              <w:rFonts w:ascii="Calibri" w:cs="Calibri" w:eastAsia="Calibri" w:hAnsi="Calibri"/>
              <w:color w:val="EEEEEE"/>
              <w:sz w:val="15"/>
              <w:szCs w:val="15"/>
            </w:rPr>
            <w:t xml:space="preserve">Guide complet 2026</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image" Target="media/06c9fdc13fc3d7187dd1434deac6291683d079ac.jpe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6c9fdc13fc3d7187dd1434deac6291683d079ac.jpe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2026-05-05T23:16:25.625Z</dcterms:created>
  <dcterms:modified xsi:type="dcterms:W3CDTF">2026-05-05T23:16:25.625Z</dcterms:modified>
</cp:coreProperties>
</file>

<file path=docProps/custom.xml><?xml version="1.0" encoding="utf-8"?>
<Properties xmlns="http://schemas.openxmlformats.org/officeDocument/2006/custom-properties" xmlns:vt="http://schemas.openxmlformats.org/officeDocument/2006/docPropsVTypes"/>
</file>